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A" w:rsidRDefault="00DD7F3A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DD7F3A" w:rsidRDefault="00DD7F3A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DD7F3A" w:rsidRDefault="00DD7F3A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:rsidR="00DD7F3A" w:rsidRDefault="00DD7F3A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 </w:t>
      </w:r>
    </w:p>
    <w:p w:rsidR="00DD7F3A" w:rsidRDefault="00DD7F3A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КОПЬЕВСКОГО СЕЛЬСОВЕТА</w:t>
      </w:r>
    </w:p>
    <w:p w:rsidR="00DD7F3A" w:rsidRDefault="00DD7F3A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            </w:t>
      </w:r>
    </w:p>
    <w:p w:rsidR="00DD7F3A" w:rsidRDefault="00DD7F3A" w:rsidP="00CA6CF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DD7F3A" w:rsidRDefault="00DD7F3A" w:rsidP="00CA6CFC">
      <w:pPr>
        <w:jc w:val="center"/>
        <w:rPr>
          <w:b/>
          <w:bCs/>
          <w:sz w:val="30"/>
          <w:szCs w:val="30"/>
        </w:rPr>
      </w:pPr>
    </w:p>
    <w:p w:rsidR="00DD7F3A" w:rsidRDefault="00DD7F3A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 07 декабря 2021 г.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77  </w:t>
      </w:r>
    </w:p>
    <w:p w:rsidR="00DD7F3A" w:rsidRDefault="00DD7F3A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с.Копьево</w:t>
      </w:r>
    </w:p>
    <w:p w:rsidR="00DD7F3A" w:rsidRDefault="00DD7F3A" w:rsidP="00CA6CFC">
      <w:pPr>
        <w:jc w:val="center"/>
        <w:outlineLvl w:val="0"/>
        <w:rPr>
          <w:b/>
          <w:bCs/>
          <w:sz w:val="28"/>
          <w:szCs w:val="28"/>
        </w:rPr>
      </w:pPr>
    </w:p>
    <w:p w:rsidR="00DD7F3A" w:rsidRPr="0098114C" w:rsidRDefault="00DD7F3A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>Копьевского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сельсовета  Орджоникидзевского  района Республики Хакасия</w:t>
      </w:r>
    </w:p>
    <w:p w:rsidR="00DD7F3A" w:rsidRPr="0098114C" w:rsidRDefault="00DD7F3A" w:rsidP="009811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D7F3A" w:rsidRPr="008600DB" w:rsidRDefault="00DD7F3A" w:rsidP="0098114C">
      <w:pPr>
        <w:ind w:firstLine="567"/>
        <w:jc w:val="center"/>
        <w:rPr>
          <w:b/>
          <w:bCs/>
          <w:sz w:val="28"/>
          <w:szCs w:val="28"/>
        </w:rPr>
      </w:pPr>
    </w:p>
    <w:p w:rsidR="00DD7F3A" w:rsidRPr="00455C19" w:rsidRDefault="00DD7F3A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Копьевского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DD7F3A" w:rsidRDefault="00DD7F3A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DD7F3A" w:rsidRPr="008F0F18" w:rsidRDefault="00DD7F3A" w:rsidP="0098114C">
      <w:pPr>
        <w:jc w:val="both"/>
        <w:rPr>
          <w:sz w:val="28"/>
          <w:szCs w:val="28"/>
        </w:rPr>
      </w:pPr>
    </w:p>
    <w:p w:rsidR="00DD7F3A" w:rsidRPr="0098114C" w:rsidRDefault="00DD7F3A" w:rsidP="009811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114C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Pr="00977DDC">
        <w:rPr>
          <w:rFonts w:ascii="Times New Roman" w:hAnsi="Times New Roman" w:cs="Times New Roman"/>
          <w:sz w:val="28"/>
          <w:szCs w:val="28"/>
        </w:rPr>
        <w:t>Копьевского</w:t>
      </w:r>
      <w:r w:rsidRPr="0098114C">
        <w:rPr>
          <w:rFonts w:ascii="Times New Roman" w:hAnsi="Times New Roman" w:cs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F3A" w:rsidRDefault="00DD7F3A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рабочий» и на официальном сайте А</w:t>
      </w:r>
      <w:r w:rsidRPr="008F0F18">
        <w:rPr>
          <w:sz w:val="28"/>
          <w:szCs w:val="28"/>
        </w:rPr>
        <w:t xml:space="preserve">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DD7F3A" w:rsidRPr="008F0F18" w:rsidRDefault="00DD7F3A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D7F3A" w:rsidRDefault="00DD7F3A" w:rsidP="0098114C">
      <w:pPr>
        <w:ind w:firstLine="567"/>
        <w:jc w:val="both"/>
        <w:rPr>
          <w:sz w:val="28"/>
          <w:szCs w:val="28"/>
        </w:rPr>
      </w:pPr>
    </w:p>
    <w:p w:rsidR="00DD7F3A" w:rsidRPr="008F0F18" w:rsidRDefault="00DD7F3A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DD7F3A" w:rsidRPr="008F0F18" w:rsidRDefault="00DD7F3A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Pr="00977DDC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DD7F3A" w:rsidRDefault="00DD7F3A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DD7F3A" w:rsidRPr="008F0F18" w:rsidRDefault="00DD7F3A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А.А. Коропов  </w:t>
      </w:r>
    </w:p>
    <w:p w:rsidR="00DD7F3A" w:rsidRPr="008F0F18" w:rsidRDefault="00DD7F3A" w:rsidP="0098114C">
      <w:pPr>
        <w:ind w:left="5940"/>
        <w:jc w:val="right"/>
        <w:rPr>
          <w:sz w:val="28"/>
          <w:szCs w:val="28"/>
        </w:rPr>
      </w:pPr>
    </w:p>
    <w:p w:rsidR="00DD7F3A" w:rsidRPr="008F0F18" w:rsidRDefault="00DD7F3A" w:rsidP="0098114C">
      <w:pPr>
        <w:ind w:left="5940"/>
        <w:jc w:val="right"/>
        <w:rPr>
          <w:sz w:val="28"/>
          <w:szCs w:val="28"/>
        </w:rPr>
      </w:pPr>
    </w:p>
    <w:p w:rsidR="00DD7F3A" w:rsidRPr="0098114C" w:rsidRDefault="00DD7F3A" w:rsidP="00CA6CF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DD7F3A" w:rsidRDefault="00DD7F3A" w:rsidP="00CA6CFC">
      <w:pPr>
        <w:ind w:left="5940"/>
        <w:jc w:val="right"/>
      </w:pPr>
      <w:r>
        <w:t>Приложение к</w:t>
      </w:r>
    </w:p>
    <w:p w:rsidR="00DD7F3A" w:rsidRDefault="00DD7F3A" w:rsidP="00CA6CFC">
      <w:pPr>
        <w:ind w:left="5940"/>
        <w:jc w:val="right"/>
      </w:pPr>
      <w:r>
        <w:t>Постановлению</w:t>
      </w:r>
      <w:bookmarkStart w:id="0" w:name="_GoBack"/>
      <w:bookmarkEnd w:id="0"/>
      <w:r>
        <w:t xml:space="preserve"> Администрации </w:t>
      </w:r>
      <w:r w:rsidRPr="00977DDC">
        <w:t>Копьевского</w:t>
      </w:r>
      <w:r>
        <w:t xml:space="preserve">  сельсовета Орджоникидзевского района Республики Хакасия</w:t>
      </w:r>
    </w:p>
    <w:p w:rsidR="00DD7F3A" w:rsidRDefault="00DD7F3A" w:rsidP="00CA6CFC">
      <w:pPr>
        <w:jc w:val="right"/>
      </w:pPr>
      <w:r>
        <w:t>от 07.12.2021 г.  № 77</w:t>
      </w:r>
    </w:p>
    <w:p w:rsidR="00DD7F3A" w:rsidRDefault="00DD7F3A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DD7F3A" w:rsidRPr="00CA6CFC" w:rsidRDefault="00DD7F3A" w:rsidP="0098114C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10101"/>
          <w:sz w:val="28"/>
          <w:szCs w:val="28"/>
        </w:rPr>
      </w:pPr>
    </w:p>
    <w:p w:rsidR="00DD7F3A" w:rsidRPr="00CA6CFC" w:rsidRDefault="00DD7F3A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CF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Pr="00977DDC">
        <w:rPr>
          <w:rFonts w:ascii="Times New Roman" w:hAnsi="Times New Roman" w:cs="Times New Roman"/>
          <w:b/>
          <w:bCs/>
          <w:sz w:val="28"/>
          <w:szCs w:val="28"/>
        </w:rPr>
        <w:t>Копьевский</w:t>
      </w:r>
      <w:r w:rsidRPr="00CA6CF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Орджоникидзевского района Республики Хакасия  на 2022 год</w:t>
      </w:r>
    </w:p>
    <w:p w:rsidR="00DD7F3A" w:rsidRPr="0098114C" w:rsidRDefault="00DD7F3A" w:rsidP="009811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D7F3A" w:rsidRPr="00CA6CFC" w:rsidRDefault="00DD7F3A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CFC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DD7F3A" w:rsidRPr="0098114C" w:rsidRDefault="00DD7F3A" w:rsidP="0098114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7F3A" w:rsidRPr="00CA6CFC" w:rsidRDefault="00DD7F3A" w:rsidP="009811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A6CFC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977DDC">
        <w:rPr>
          <w:rFonts w:ascii="Times New Roman" w:hAnsi="Times New Roman" w:cs="Times New Roman"/>
          <w:sz w:val="28"/>
          <w:szCs w:val="28"/>
        </w:rPr>
        <w:t>Копье</w:t>
      </w:r>
      <w:r>
        <w:rPr>
          <w:rFonts w:ascii="Times New Roman" w:hAnsi="Times New Roman" w:cs="Times New Roman"/>
          <w:sz w:val="28"/>
          <w:szCs w:val="28"/>
        </w:rPr>
        <w:t>вский</w:t>
      </w:r>
      <w:r w:rsidRPr="00CA6CFC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Хакасия. 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DD7F3A" w:rsidRPr="00CA6CFC" w:rsidRDefault="00DD7F3A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управлением муниципального контроля Администрации </w:t>
      </w:r>
      <w:r w:rsidRPr="00977DDC">
        <w:rPr>
          <w:sz w:val="28"/>
          <w:szCs w:val="28"/>
        </w:rPr>
        <w:t>Копьевского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DD7F3A" w:rsidRPr="00CA6CFC" w:rsidRDefault="00DD7F3A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DD7F3A" w:rsidRPr="00CA6CFC" w:rsidRDefault="00DD7F3A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D7F3A" w:rsidRPr="00CA6CFC" w:rsidRDefault="00DD7F3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D7F3A" w:rsidRPr="00CA6CFC" w:rsidRDefault="00DD7F3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 xml:space="preserve">вский </w:t>
      </w:r>
      <w:r w:rsidRPr="00CA6CFC">
        <w:rPr>
          <w:sz w:val="28"/>
          <w:szCs w:val="28"/>
        </w:rPr>
        <w:t>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DD7F3A" w:rsidRPr="00CA6CFC" w:rsidRDefault="00DD7F3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DD7F3A" w:rsidRPr="00CA6CFC" w:rsidRDefault="00DD7F3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DD7F3A" w:rsidRPr="00CA6CFC" w:rsidRDefault="00DD7F3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7F3A" w:rsidRPr="00CA6CFC" w:rsidRDefault="00DD7F3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D7F3A" w:rsidRDefault="00DD7F3A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 (приложение). 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DD7F3A" w:rsidRPr="00CA6CFC" w:rsidRDefault="00DD7F3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2020 год: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DD7F3A" w:rsidRPr="00CA6CFC" w:rsidRDefault="00DD7F3A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DD7F3A" w:rsidRDefault="00DD7F3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DD7F3A" w:rsidRDefault="00DD7F3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DD7F3A" w:rsidRDefault="00DD7F3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DD7F3A" w:rsidRDefault="00DD7F3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DD7F3A" w:rsidRPr="00CA6CFC" w:rsidRDefault="00DD7F3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16"/>
        <w:gridCol w:w="4569"/>
        <w:gridCol w:w="2272"/>
        <w:gridCol w:w="2106"/>
      </w:tblGrid>
      <w:tr w:rsidR="00DD7F3A" w:rsidRPr="00CA6CF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CA6CF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DD7F3A" w:rsidRPr="00CA6CF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CA6CF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CA6CF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D7F3A" w:rsidRPr="00CA6CF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DD7F3A" w:rsidRPr="00CA6CF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CA6CF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CA6CF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Должностные лица упра</w:t>
            </w:r>
            <w:r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 w:rsidRPr="00977DDC">
              <w:rPr>
                <w:sz w:val="28"/>
                <w:szCs w:val="28"/>
              </w:rPr>
              <w:t>Копье</w:t>
            </w:r>
            <w:r>
              <w:rPr>
                <w:sz w:val="28"/>
                <w:szCs w:val="28"/>
              </w:rPr>
              <w:t>вский</w:t>
            </w:r>
            <w:r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CA6CF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D7F3A" w:rsidRDefault="00DD7F3A" w:rsidP="00977DD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8-962-800-72-67</w:t>
            </w:r>
          </w:p>
          <w:p w:rsidR="00DD7F3A" w:rsidRDefault="00DD7F3A" w:rsidP="00977DDC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>
                <w:rPr>
                  <w:rStyle w:val="Hyperlink"/>
                  <w:sz w:val="28"/>
                  <w:szCs w:val="28"/>
                  <w:lang w:val="en-US"/>
                </w:rPr>
                <w:t>kopsovet</w:t>
              </w:r>
              <w:r>
                <w:rPr>
                  <w:rStyle w:val="Hyperlink"/>
                  <w:sz w:val="28"/>
                  <w:szCs w:val="28"/>
                </w:rPr>
                <w:t>@</w:t>
              </w:r>
              <w:r>
                <w:rPr>
                  <w:rStyle w:val="Hyperlink"/>
                  <w:sz w:val="28"/>
                  <w:szCs w:val="28"/>
                  <w:lang w:val="en-US"/>
                </w:rPr>
                <w:t>mail</w:t>
              </w:r>
              <w:r>
                <w:rPr>
                  <w:rStyle w:val="Hyperlink"/>
                  <w:sz w:val="28"/>
                  <w:szCs w:val="28"/>
                </w:rPr>
                <w:t>.ru</w:t>
              </w:r>
            </w:hyperlink>
          </w:p>
          <w:p w:rsidR="00DD7F3A" w:rsidRPr="00CA6CF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DD7F3A" w:rsidRPr="00CA6CFC" w:rsidRDefault="00DD7F3A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DD7F3A" w:rsidRPr="00CA6CF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 (приложение).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Pr="00977DDC">
        <w:rPr>
          <w:sz w:val="28"/>
          <w:szCs w:val="28"/>
        </w:rPr>
        <w:t>Копье</w:t>
      </w:r>
      <w:r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год.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D7F3A" w:rsidRPr="00CA6CFC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D7F3A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DD7F3A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D7F3A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D7F3A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D7F3A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D7F3A" w:rsidRPr="00787FA6" w:rsidRDefault="00DD7F3A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t> </w:t>
      </w:r>
      <w:r w:rsidRPr="00787FA6">
        <w:rPr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  <w:t>причинения вреда (ущерба) охраняемым законом ценностям</w:t>
      </w:r>
      <w:r w:rsidRPr="00787FA6">
        <w:rPr>
          <w:color w:val="010101"/>
        </w:rPr>
        <w:br/>
        <w:t>на 2022 год</w:t>
      </w:r>
    </w:p>
    <w:p w:rsidR="00DD7F3A" w:rsidRPr="00787FA6" w:rsidRDefault="00DD7F3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Pr="00977DDC">
        <w:rPr>
          <w:b/>
          <w:bCs/>
          <w:sz w:val="28"/>
          <w:szCs w:val="28"/>
        </w:rPr>
        <w:t>Копьевский</w:t>
      </w:r>
      <w:r w:rsidRPr="00787FA6">
        <w:rPr>
          <w:b/>
          <w:bCs/>
          <w:sz w:val="28"/>
          <w:szCs w:val="28"/>
        </w:rPr>
        <w:t xml:space="preserve"> сельсовет Орджоникидзевского района Республики Хакасия</w:t>
      </w:r>
      <w:r w:rsidRPr="00787FA6">
        <w:rPr>
          <w:b/>
          <w:bCs/>
          <w:color w:val="010101"/>
          <w:sz w:val="28"/>
          <w:szCs w:val="28"/>
        </w:rPr>
        <w:t xml:space="preserve"> на 2022 год </w:t>
      </w:r>
    </w:p>
    <w:p w:rsidR="00DD7F3A" w:rsidRPr="00CA6CFC" w:rsidRDefault="00DD7F3A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9"/>
        <w:gridCol w:w="2373"/>
        <w:gridCol w:w="3445"/>
        <w:gridCol w:w="1865"/>
        <w:gridCol w:w="1321"/>
      </w:tblGrid>
      <w:tr w:rsidR="00DD7F3A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DD7F3A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Pr="00977DDC">
              <w:t>Копьевский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DD7F3A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Pr="00977DDC">
              <w:t>Копьевский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DD7F3A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D7F3A" w:rsidRPr="0098114C" w:rsidRDefault="00DD7F3A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t xml:space="preserve">Должностные лица 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DD7F3A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DD7F3A" w:rsidRPr="0098114C" w:rsidRDefault="00DD7F3A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t>Гайдаровский</w:t>
            </w:r>
            <w:r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DD7F3A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D7F3A" w:rsidRPr="0098114C" w:rsidRDefault="00DD7F3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D7F3A" w:rsidRPr="0098114C" w:rsidRDefault="00DD7F3A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t>Должностные лица 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D7F3A" w:rsidRPr="0098114C" w:rsidRDefault="00DD7F3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DD7F3A" w:rsidRDefault="00DD7F3A"/>
    <w:sectPr w:rsidR="00DD7F3A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4C"/>
    <w:rsid w:val="000028E7"/>
    <w:rsid w:val="00017C85"/>
    <w:rsid w:val="000442A0"/>
    <w:rsid w:val="00061444"/>
    <w:rsid w:val="000A40D6"/>
    <w:rsid w:val="000C1ABA"/>
    <w:rsid w:val="00174158"/>
    <w:rsid w:val="001C5F60"/>
    <w:rsid w:val="002031F0"/>
    <w:rsid w:val="002727AE"/>
    <w:rsid w:val="002D13BF"/>
    <w:rsid w:val="004134D2"/>
    <w:rsid w:val="00444FC8"/>
    <w:rsid w:val="00455C19"/>
    <w:rsid w:val="0046179B"/>
    <w:rsid w:val="004A25D0"/>
    <w:rsid w:val="004C47F6"/>
    <w:rsid w:val="00677C2C"/>
    <w:rsid w:val="006E1372"/>
    <w:rsid w:val="006E5D44"/>
    <w:rsid w:val="007164FA"/>
    <w:rsid w:val="00787FA6"/>
    <w:rsid w:val="008600DB"/>
    <w:rsid w:val="008F0F18"/>
    <w:rsid w:val="00907CB2"/>
    <w:rsid w:val="00942B88"/>
    <w:rsid w:val="00977DDC"/>
    <w:rsid w:val="0098114C"/>
    <w:rsid w:val="009A0134"/>
    <w:rsid w:val="00A30F05"/>
    <w:rsid w:val="00A864ED"/>
    <w:rsid w:val="00AA02B2"/>
    <w:rsid w:val="00B84521"/>
    <w:rsid w:val="00BA6804"/>
    <w:rsid w:val="00BF597C"/>
    <w:rsid w:val="00C25122"/>
    <w:rsid w:val="00C943DE"/>
    <w:rsid w:val="00CA38B9"/>
    <w:rsid w:val="00CA6CFC"/>
    <w:rsid w:val="00D06092"/>
    <w:rsid w:val="00D729A0"/>
    <w:rsid w:val="00DD7F3A"/>
    <w:rsid w:val="00E1670E"/>
    <w:rsid w:val="00F2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9811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114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sov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2945</Words>
  <Characters>16788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Admin</cp:lastModifiedBy>
  <cp:revision>3</cp:revision>
  <dcterms:created xsi:type="dcterms:W3CDTF">2021-12-15T06:44:00Z</dcterms:created>
  <dcterms:modified xsi:type="dcterms:W3CDTF">2021-12-20T08:46:00Z</dcterms:modified>
</cp:coreProperties>
</file>