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в рамках муниципального </w:t>
      </w:r>
      <w:r w:rsidR="00AB1599">
        <w:rPr>
          <w:rFonts w:ascii="Times New Roman" w:hAnsi="Times New Roman" w:cs="Times New Roman"/>
          <w:b/>
          <w:sz w:val="28"/>
          <w:szCs w:val="24"/>
        </w:rPr>
        <w:t xml:space="preserve">жилищного контроля </w:t>
      </w:r>
      <w:r w:rsidR="00475EE1">
        <w:rPr>
          <w:rFonts w:ascii="Times New Roman" w:hAnsi="Times New Roman" w:cs="Times New Roman"/>
          <w:b/>
          <w:sz w:val="28"/>
          <w:szCs w:val="24"/>
        </w:rPr>
        <w:t>на 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</w:t>
      </w:r>
      <w:r w:rsidR="00710F83">
        <w:rPr>
          <w:rFonts w:ascii="Times New Roman" w:hAnsi="Times New Roman" w:cs="Times New Roman"/>
          <w:b/>
          <w:sz w:val="28"/>
          <w:szCs w:val="24"/>
        </w:rPr>
        <w:t>4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5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.Копьево, ул.Новая,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710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>В период общественных обсуждений предложений и замечаний не поступило, рекомендовано</w:t>
      </w:r>
      <w:r w:rsidR="00463FA2">
        <w:rPr>
          <w:rFonts w:ascii="Times New Roman" w:hAnsi="Times New Roman" w:cs="Times New Roman"/>
          <w:sz w:val="28"/>
          <w:szCs w:val="24"/>
        </w:rPr>
        <w:t xml:space="preserve"> утвердить</w:t>
      </w:r>
      <w:bookmarkStart w:id="0" w:name="_GoBack"/>
      <w:bookmarkEnd w:id="0"/>
      <w:r w:rsidRPr="0075123C">
        <w:rPr>
          <w:rFonts w:ascii="Times New Roman" w:hAnsi="Times New Roman" w:cs="Times New Roman"/>
          <w:sz w:val="28"/>
          <w:szCs w:val="24"/>
        </w:rPr>
        <w:t xml:space="preserve"> программу профилактики рисков причинения вреда (ущерба) охраняемым законом ценностям </w:t>
      </w:r>
      <w:r w:rsidR="00475EE1" w:rsidRPr="00475EE1">
        <w:rPr>
          <w:rFonts w:ascii="Times New Roman" w:hAnsi="Times New Roman" w:cs="Times New Roman"/>
          <w:sz w:val="28"/>
          <w:szCs w:val="24"/>
        </w:rPr>
        <w:t>в сфере</w:t>
      </w:r>
      <w:r w:rsidR="00AB1599">
        <w:rPr>
          <w:rFonts w:ascii="Times New Roman" w:hAnsi="Times New Roman" w:cs="Times New Roman"/>
          <w:sz w:val="28"/>
          <w:szCs w:val="24"/>
        </w:rPr>
        <w:t xml:space="preserve"> муниципального жилищного контроля</w:t>
      </w:r>
      <w:r w:rsidR="00475EE1" w:rsidRPr="00475EE1">
        <w:rPr>
          <w:rFonts w:ascii="Times New Roman" w:hAnsi="Times New Roman" w:cs="Times New Roman"/>
          <w:sz w:val="28"/>
          <w:szCs w:val="24"/>
        </w:rPr>
        <w:t xml:space="preserve"> </w:t>
      </w:r>
      <w:r w:rsidR="00AB1599">
        <w:rPr>
          <w:rFonts w:ascii="Times New Roman" w:hAnsi="Times New Roman" w:cs="Times New Roman"/>
          <w:sz w:val="28"/>
          <w:szCs w:val="24"/>
        </w:rPr>
        <w:t>на территории Копьевского сельсовета Орджоникидзевского района Республики Хакасия на 202</w:t>
      </w:r>
      <w:r w:rsidR="00710F83">
        <w:rPr>
          <w:rFonts w:ascii="Times New Roman" w:hAnsi="Times New Roman" w:cs="Times New Roman"/>
          <w:sz w:val="28"/>
          <w:szCs w:val="24"/>
        </w:rPr>
        <w:t>4</w:t>
      </w:r>
      <w:r w:rsidR="00AB1599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C"/>
    <w:rsid w:val="00450B34"/>
    <w:rsid w:val="00463FA2"/>
    <w:rsid w:val="00475EE1"/>
    <w:rsid w:val="006014E1"/>
    <w:rsid w:val="00710F83"/>
    <w:rsid w:val="0075123C"/>
    <w:rsid w:val="00AB1599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61C"/>
  <w15:docId w15:val="{0C521F3B-8043-4873-9EC5-70AA318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</cp:lastModifiedBy>
  <cp:revision>3</cp:revision>
  <dcterms:created xsi:type="dcterms:W3CDTF">2023-12-06T01:03:00Z</dcterms:created>
  <dcterms:modified xsi:type="dcterms:W3CDTF">2023-12-06T01:15:00Z</dcterms:modified>
</cp:coreProperties>
</file>