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62" w:rsidRPr="00622245" w:rsidRDefault="00481E62" w:rsidP="004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24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1E62" w:rsidRPr="00622245" w:rsidRDefault="00481E62" w:rsidP="004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245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481E62" w:rsidRPr="00622245" w:rsidRDefault="00481E62" w:rsidP="004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245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481E62" w:rsidRPr="00622245" w:rsidRDefault="00481E62" w:rsidP="004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245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481E62" w:rsidRPr="00622245" w:rsidRDefault="00481E62" w:rsidP="004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62" w:rsidRPr="00622245" w:rsidRDefault="00481E62" w:rsidP="0048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2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81E62" w:rsidRPr="00622245" w:rsidRDefault="00481E62" w:rsidP="00481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февраля </w:t>
      </w:r>
      <w:r w:rsidRPr="00622245">
        <w:rPr>
          <w:rFonts w:ascii="Times New Roman" w:hAnsi="Times New Roman" w:cs="Times New Roman"/>
          <w:sz w:val="28"/>
          <w:szCs w:val="28"/>
        </w:rPr>
        <w:t>2021 г.</w:t>
      </w:r>
      <w:r w:rsidRPr="00622245">
        <w:rPr>
          <w:rFonts w:ascii="Times New Roman" w:hAnsi="Times New Roman" w:cs="Times New Roman"/>
          <w:sz w:val="28"/>
          <w:szCs w:val="28"/>
        </w:rPr>
        <w:tab/>
      </w:r>
      <w:r w:rsidRPr="00622245">
        <w:rPr>
          <w:rFonts w:ascii="Times New Roman" w:hAnsi="Times New Roman" w:cs="Times New Roman"/>
          <w:sz w:val="28"/>
          <w:szCs w:val="28"/>
        </w:rPr>
        <w:tab/>
      </w:r>
      <w:r w:rsidRPr="00622245">
        <w:rPr>
          <w:rFonts w:ascii="Times New Roman" w:hAnsi="Times New Roman" w:cs="Times New Roman"/>
          <w:sz w:val="28"/>
          <w:szCs w:val="28"/>
        </w:rPr>
        <w:tab/>
      </w:r>
      <w:r w:rsidRPr="00622245">
        <w:rPr>
          <w:rFonts w:ascii="Times New Roman" w:hAnsi="Times New Roman" w:cs="Times New Roman"/>
          <w:sz w:val="28"/>
          <w:szCs w:val="28"/>
        </w:rPr>
        <w:tab/>
      </w:r>
      <w:r w:rsidRPr="00622245">
        <w:rPr>
          <w:rFonts w:ascii="Times New Roman" w:hAnsi="Times New Roman" w:cs="Times New Roman"/>
          <w:sz w:val="28"/>
          <w:szCs w:val="28"/>
        </w:rPr>
        <w:tab/>
      </w:r>
      <w:r w:rsidRPr="00622245">
        <w:rPr>
          <w:rFonts w:ascii="Times New Roman" w:hAnsi="Times New Roman" w:cs="Times New Roman"/>
          <w:sz w:val="28"/>
          <w:szCs w:val="28"/>
        </w:rPr>
        <w:tab/>
      </w:r>
      <w:r w:rsidRPr="00622245">
        <w:rPr>
          <w:rFonts w:ascii="Times New Roman" w:hAnsi="Times New Roman" w:cs="Times New Roman"/>
          <w:sz w:val="28"/>
          <w:szCs w:val="28"/>
        </w:rPr>
        <w:tab/>
      </w:r>
      <w:r w:rsidRPr="0062224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481E62" w:rsidRPr="00622245" w:rsidRDefault="00481E62" w:rsidP="00481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245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481E62" w:rsidRPr="00622245" w:rsidRDefault="00481E62" w:rsidP="0048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E62" w:rsidRDefault="00481E62" w:rsidP="00481E62">
      <w:pPr>
        <w:spacing w:after="0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4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245">
        <w:rPr>
          <w:rFonts w:ascii="Times New Roman" w:hAnsi="Times New Roman" w:cs="Times New Roman"/>
          <w:b/>
          <w:sz w:val="28"/>
          <w:szCs w:val="28"/>
        </w:rPr>
        <w:t xml:space="preserve">создании постоянно </w:t>
      </w:r>
      <w:proofErr w:type="gramStart"/>
      <w:r w:rsidRPr="00622245">
        <w:rPr>
          <w:rFonts w:ascii="Times New Roman" w:hAnsi="Times New Roman" w:cs="Times New Roman"/>
          <w:b/>
          <w:sz w:val="28"/>
          <w:szCs w:val="28"/>
        </w:rPr>
        <w:t>действующей</w:t>
      </w:r>
      <w:proofErr w:type="gramEnd"/>
      <w:r w:rsidRPr="00622245">
        <w:rPr>
          <w:rFonts w:ascii="Times New Roman" w:hAnsi="Times New Roman" w:cs="Times New Roman"/>
          <w:b/>
          <w:sz w:val="28"/>
          <w:szCs w:val="28"/>
        </w:rPr>
        <w:t xml:space="preserve"> комиссию</w:t>
      </w:r>
    </w:p>
    <w:p w:rsidR="00481E62" w:rsidRDefault="00481E62" w:rsidP="00481E62">
      <w:pPr>
        <w:spacing w:after="0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45">
        <w:rPr>
          <w:rFonts w:ascii="Times New Roman" w:hAnsi="Times New Roman" w:cs="Times New Roman"/>
          <w:b/>
          <w:sz w:val="28"/>
          <w:szCs w:val="28"/>
        </w:rPr>
        <w:t xml:space="preserve"> по поступлению и выбытию активов</w:t>
      </w:r>
    </w:p>
    <w:p w:rsidR="00481E62" w:rsidRPr="00622245" w:rsidRDefault="00481E62" w:rsidP="00481E62">
      <w:pPr>
        <w:spacing w:after="0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62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245">
        <w:rPr>
          <w:sz w:val="28"/>
          <w:szCs w:val="28"/>
        </w:rPr>
        <w:t>На основании   </w:t>
      </w:r>
      <w:hyperlink r:id="rId4" w:tgtFrame="_blank" w:history="1">
        <w:r w:rsidRPr="00622245">
          <w:rPr>
            <w:rStyle w:val="a4"/>
            <w:color w:val="auto"/>
            <w:sz w:val="28"/>
            <w:szCs w:val="28"/>
            <w:u w:val="none"/>
          </w:rPr>
          <w:t>Приказа Минфина РФ от 01.12.2010 № 157н</w:t>
        </w:r>
      </w:hyperlink>
      <w:r w:rsidRPr="00622245">
        <w:rPr>
          <w:sz w:val="28"/>
          <w:szCs w:val="28"/>
        </w:rPr>
        <w:t xml:space="preserve"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481E62" w:rsidRPr="00481E62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22245">
        <w:rPr>
          <w:sz w:val="28"/>
          <w:szCs w:val="28"/>
        </w:rPr>
        <w:t>Администрация Приисков</w:t>
      </w:r>
      <w:r>
        <w:rPr>
          <w:sz w:val="28"/>
          <w:szCs w:val="28"/>
        </w:rPr>
        <w:t xml:space="preserve">ого  сельсовета,  </w:t>
      </w:r>
      <w:proofErr w:type="spellStart"/>
      <w:proofErr w:type="gramStart"/>
      <w:r w:rsidRPr="00622245">
        <w:rPr>
          <w:b/>
          <w:sz w:val="28"/>
          <w:szCs w:val="28"/>
        </w:rPr>
        <w:t>п</w:t>
      </w:r>
      <w:proofErr w:type="spellEnd"/>
      <w:proofErr w:type="gramEnd"/>
      <w:r w:rsidRPr="00622245">
        <w:rPr>
          <w:b/>
          <w:sz w:val="28"/>
          <w:szCs w:val="28"/>
        </w:rPr>
        <w:t xml:space="preserve"> о с т а </w:t>
      </w:r>
      <w:proofErr w:type="spellStart"/>
      <w:r w:rsidRPr="00622245">
        <w:rPr>
          <w:b/>
          <w:sz w:val="28"/>
          <w:szCs w:val="28"/>
        </w:rPr>
        <w:t>н</w:t>
      </w:r>
      <w:proofErr w:type="spellEnd"/>
      <w:r w:rsidRPr="00622245"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481E62" w:rsidRPr="00622245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103">
        <w:rPr>
          <w:sz w:val="28"/>
          <w:szCs w:val="28"/>
        </w:rPr>
        <w:t>1.</w:t>
      </w:r>
      <w:r w:rsidRPr="00622245">
        <w:rPr>
          <w:sz w:val="28"/>
          <w:szCs w:val="28"/>
        </w:rPr>
        <w:t xml:space="preserve">Для </w:t>
      </w:r>
      <w:proofErr w:type="gramStart"/>
      <w:r w:rsidRPr="00622245">
        <w:rPr>
          <w:sz w:val="28"/>
          <w:szCs w:val="28"/>
        </w:rPr>
        <w:t>контроля за</w:t>
      </w:r>
      <w:proofErr w:type="gramEnd"/>
      <w:r w:rsidRPr="00622245">
        <w:rPr>
          <w:sz w:val="28"/>
          <w:szCs w:val="28"/>
        </w:rPr>
        <w:t xml:space="preserve"> сохранностью основных средств и определения целесообразности их списания (выбытия) создать постоянно действующую комиссию по поступлению и выбытию активов в следующем составе: </w:t>
      </w:r>
    </w:p>
    <w:p w:rsidR="00481E62" w:rsidRPr="00622245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22245">
        <w:rPr>
          <w:sz w:val="28"/>
          <w:szCs w:val="28"/>
        </w:rPr>
        <w:t>Председатель комиссии - Глава Администрации Приискового сельсовета Станевич О. М.;</w:t>
      </w:r>
    </w:p>
    <w:p w:rsidR="00481E62" w:rsidRPr="00622245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22245">
        <w:rPr>
          <w:sz w:val="28"/>
          <w:szCs w:val="28"/>
        </w:rPr>
        <w:t>Члены комиссии:</w:t>
      </w:r>
    </w:p>
    <w:p w:rsidR="00481E62" w:rsidRPr="00622245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22245">
        <w:rPr>
          <w:sz w:val="28"/>
          <w:szCs w:val="28"/>
        </w:rPr>
        <w:t>–</w:t>
      </w:r>
      <w:r w:rsidRPr="00622245">
        <w:rPr>
          <w:bCs/>
          <w:sz w:val="28"/>
          <w:szCs w:val="28"/>
        </w:rPr>
        <w:t xml:space="preserve"> ведущий бухгалтер Борисова Т. К.</w:t>
      </w:r>
    </w:p>
    <w:p w:rsidR="00481E62" w:rsidRPr="00622245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22245">
        <w:rPr>
          <w:sz w:val="28"/>
          <w:szCs w:val="28"/>
        </w:rPr>
        <w:t>–</w:t>
      </w:r>
      <w:r>
        <w:rPr>
          <w:sz w:val="28"/>
          <w:szCs w:val="28"/>
        </w:rPr>
        <w:t>специалист Смаль Т.А.</w:t>
      </w:r>
      <w:r w:rsidRPr="00622245">
        <w:rPr>
          <w:sz w:val="28"/>
          <w:szCs w:val="28"/>
        </w:rPr>
        <w:t>.</w:t>
      </w:r>
    </w:p>
    <w:p w:rsidR="00481E62" w:rsidRPr="00622245" w:rsidRDefault="00481E62" w:rsidP="00481E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22245">
        <w:rPr>
          <w:sz w:val="28"/>
          <w:szCs w:val="28"/>
        </w:rPr>
        <w:t>– секретарь Андрюшина  В. Ю.</w:t>
      </w:r>
    </w:p>
    <w:p w:rsidR="00802103" w:rsidRDefault="00802103" w:rsidP="00481E6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1E62">
        <w:rPr>
          <w:sz w:val="28"/>
          <w:szCs w:val="28"/>
        </w:rPr>
        <w:t>2.</w:t>
      </w:r>
      <w:r w:rsidR="00481E62" w:rsidRPr="00622245">
        <w:rPr>
          <w:sz w:val="28"/>
          <w:szCs w:val="28"/>
        </w:rPr>
        <w:t xml:space="preserve">Утвердить положение о </w:t>
      </w:r>
      <w:r w:rsidR="00481E62" w:rsidRPr="00622245">
        <w:rPr>
          <w:bCs/>
          <w:color w:val="000000"/>
          <w:sz w:val="28"/>
          <w:szCs w:val="28"/>
        </w:rPr>
        <w:t>постоянно действующей комиссии по поступлению и выбытию активов согласно приложению №1</w:t>
      </w:r>
      <w:r w:rsidR="00481E62">
        <w:rPr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</w:t>
      </w:r>
    </w:p>
    <w:p w:rsidR="00481E62" w:rsidRDefault="00802103" w:rsidP="00481E6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481E62">
        <w:rPr>
          <w:bCs/>
          <w:color w:val="000000"/>
          <w:sz w:val="28"/>
          <w:szCs w:val="28"/>
        </w:rPr>
        <w:t xml:space="preserve">3. </w:t>
      </w:r>
      <w:proofErr w:type="gramStart"/>
      <w:r w:rsidR="00481E62">
        <w:rPr>
          <w:bCs/>
          <w:color w:val="000000"/>
          <w:sz w:val="28"/>
          <w:szCs w:val="28"/>
        </w:rPr>
        <w:t>Контроль за</w:t>
      </w:r>
      <w:proofErr w:type="gramEnd"/>
      <w:r w:rsidR="00481E62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1E62" w:rsidRDefault="00802103" w:rsidP="00481E6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4.</w:t>
      </w:r>
      <w:r w:rsidR="00481E62">
        <w:rPr>
          <w:bCs/>
          <w:color w:val="000000"/>
          <w:sz w:val="28"/>
          <w:szCs w:val="28"/>
        </w:rPr>
        <w:t>Постановление вступает в  силу после его опубликования (обнародования)</w:t>
      </w:r>
      <w:r>
        <w:rPr>
          <w:bCs/>
          <w:color w:val="000000"/>
          <w:sz w:val="28"/>
          <w:szCs w:val="28"/>
        </w:rPr>
        <w:t>.</w:t>
      </w:r>
    </w:p>
    <w:p w:rsidR="00481E62" w:rsidRPr="00622245" w:rsidRDefault="00481E62" w:rsidP="00481E62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481E62" w:rsidRPr="00622245" w:rsidRDefault="00481E62" w:rsidP="00481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1E62" w:rsidRPr="009A7CAA" w:rsidRDefault="00481E62" w:rsidP="009A7C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22245">
        <w:rPr>
          <w:rFonts w:ascii="Times New Roman" w:hAnsi="Times New Roman"/>
          <w:sz w:val="28"/>
          <w:szCs w:val="28"/>
        </w:rPr>
        <w:t xml:space="preserve">Глава Приискового сельсовета                                  </w:t>
      </w:r>
      <w:r w:rsidR="009A7CAA">
        <w:rPr>
          <w:rFonts w:ascii="Times New Roman" w:hAnsi="Times New Roman"/>
          <w:sz w:val="28"/>
          <w:szCs w:val="28"/>
        </w:rPr>
        <w:t xml:space="preserve">  </w:t>
      </w:r>
      <w:r w:rsidRPr="006222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22245">
        <w:rPr>
          <w:rFonts w:ascii="Times New Roman" w:hAnsi="Times New Roman"/>
          <w:sz w:val="28"/>
          <w:szCs w:val="28"/>
        </w:rPr>
        <w:t>О.М.Станевич</w:t>
      </w:r>
      <w:proofErr w:type="spellEnd"/>
    </w:p>
    <w:p w:rsidR="00481E62" w:rsidRDefault="00481E62" w:rsidP="0000171C">
      <w:pPr>
        <w:pStyle w:val="a3"/>
        <w:spacing w:before="0" w:beforeAutospacing="0" w:after="300" w:afterAutospacing="0"/>
        <w:ind w:left="2832" w:firstLine="708"/>
        <w:jc w:val="center"/>
        <w:rPr>
          <w:b/>
          <w:bCs/>
          <w:color w:val="000000"/>
        </w:rPr>
      </w:pPr>
    </w:p>
    <w:p w:rsidR="0000171C" w:rsidRPr="009A7CAA" w:rsidRDefault="00481E62" w:rsidP="0000171C">
      <w:pPr>
        <w:pStyle w:val="a3"/>
        <w:spacing w:before="0" w:beforeAutospacing="0" w:after="300" w:afterAutospacing="0"/>
        <w:ind w:left="2832" w:firstLine="708"/>
        <w:jc w:val="center"/>
        <w:rPr>
          <w:bCs/>
          <w:color w:val="000000"/>
        </w:rPr>
      </w:pPr>
      <w:r w:rsidRPr="009A7CAA">
        <w:rPr>
          <w:bCs/>
          <w:color w:val="000000"/>
        </w:rPr>
        <w:lastRenderedPageBreak/>
        <w:t>П</w:t>
      </w:r>
      <w:r w:rsidR="0000171C" w:rsidRPr="009A7CAA">
        <w:rPr>
          <w:bCs/>
          <w:color w:val="000000"/>
        </w:rPr>
        <w:t>РИЛОЖЕНИЕ №1</w:t>
      </w:r>
    </w:p>
    <w:p w:rsidR="0000171C" w:rsidRPr="009A7CAA" w:rsidRDefault="009A7CAA" w:rsidP="0000171C">
      <w:pPr>
        <w:pStyle w:val="a3"/>
        <w:spacing w:before="0" w:beforeAutospacing="0" w:after="300" w:afterAutospacing="0"/>
        <w:ind w:left="4248"/>
        <w:rPr>
          <w:bCs/>
          <w:color w:val="000000"/>
        </w:rPr>
      </w:pPr>
      <w:r w:rsidRPr="009A7CAA">
        <w:rPr>
          <w:bCs/>
          <w:color w:val="000000"/>
        </w:rPr>
        <w:t>К п</w:t>
      </w:r>
      <w:r w:rsidR="0000171C" w:rsidRPr="009A7CAA">
        <w:rPr>
          <w:bCs/>
          <w:color w:val="000000"/>
        </w:rPr>
        <w:t xml:space="preserve">остановлению Администрации                                     </w:t>
      </w:r>
      <w:r>
        <w:rPr>
          <w:bCs/>
          <w:color w:val="000000"/>
        </w:rPr>
        <w:t>Приискового сельсовета от 04.02</w:t>
      </w:r>
      <w:r w:rsidR="00214AB0" w:rsidRPr="009A7CAA">
        <w:rPr>
          <w:bCs/>
          <w:color w:val="000000"/>
        </w:rPr>
        <w:t>.2021</w:t>
      </w:r>
      <w:r w:rsidR="0000171C" w:rsidRPr="009A7CAA">
        <w:rPr>
          <w:bCs/>
          <w:color w:val="000000"/>
        </w:rPr>
        <w:t>г. №</w:t>
      </w:r>
      <w:r>
        <w:rPr>
          <w:bCs/>
          <w:color w:val="000000"/>
        </w:rPr>
        <w:t>18</w:t>
      </w:r>
    </w:p>
    <w:p w:rsidR="00622245" w:rsidRPr="009A7CAA" w:rsidRDefault="00622245" w:rsidP="009A7C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9A7CAA">
        <w:rPr>
          <w:b/>
          <w:bCs/>
          <w:color w:val="000000"/>
        </w:rPr>
        <w:t>П</w:t>
      </w:r>
      <w:r w:rsidR="006F5C18" w:rsidRPr="009A7CAA">
        <w:rPr>
          <w:b/>
          <w:bCs/>
          <w:color w:val="000000"/>
        </w:rPr>
        <w:t>оложение</w:t>
      </w:r>
    </w:p>
    <w:p w:rsidR="006F5C18" w:rsidRPr="00214AB0" w:rsidRDefault="006F5C18" w:rsidP="006F5C18">
      <w:pPr>
        <w:pStyle w:val="a3"/>
        <w:spacing w:before="0" w:beforeAutospacing="0" w:after="300" w:afterAutospacing="0"/>
        <w:jc w:val="center"/>
        <w:rPr>
          <w:color w:val="000000"/>
        </w:rPr>
      </w:pPr>
      <w:r w:rsidRPr="00214AB0">
        <w:rPr>
          <w:b/>
          <w:bCs/>
          <w:color w:val="000000"/>
        </w:rPr>
        <w:t xml:space="preserve"> о </w:t>
      </w:r>
      <w:r w:rsidR="00622245" w:rsidRPr="00214AB0">
        <w:rPr>
          <w:b/>
          <w:bCs/>
          <w:color w:val="000000"/>
        </w:rPr>
        <w:t xml:space="preserve">постоянно действующей </w:t>
      </w:r>
      <w:r w:rsidRPr="00214AB0">
        <w:rPr>
          <w:b/>
          <w:bCs/>
          <w:color w:val="000000"/>
        </w:rPr>
        <w:t>комиссии по поступлению и выбытию активов</w:t>
      </w:r>
    </w:p>
    <w:p w:rsidR="000071A3" w:rsidRPr="00214AB0" w:rsidRDefault="006F5C18" w:rsidP="0000171C">
      <w:pPr>
        <w:pStyle w:val="a3"/>
        <w:spacing w:before="0" w:beforeAutospacing="0" w:after="300" w:afterAutospacing="0"/>
        <w:ind w:firstLine="708"/>
        <w:jc w:val="both"/>
      </w:pPr>
      <w:r w:rsidRPr="00214AB0">
        <w:rPr>
          <w:color w:val="000000"/>
        </w:rPr>
        <w:t xml:space="preserve">Настоящее положение устанавливает порядок работы постоянно действующей комиссии по поступлению и выбытию имущества </w:t>
      </w:r>
      <w:r w:rsidR="000071A3" w:rsidRPr="00214AB0">
        <w:rPr>
          <w:color w:val="000000"/>
        </w:rPr>
        <w:t xml:space="preserve">Администрации Приискового сельсовета Орджоникидзевского района Республики Хакасия (далее Администрация).                                                           </w:t>
      </w:r>
      <w:r w:rsidRPr="00214AB0">
        <w:rPr>
          <w:color w:val="000000"/>
        </w:rPr>
        <w:t xml:space="preserve">Положение разработано в соответствии </w:t>
      </w:r>
      <w:r w:rsidRPr="00214AB0">
        <w:t>с </w:t>
      </w:r>
      <w:hyperlink r:id="rId5" w:tgtFrame="_blank" w:history="1">
        <w:r w:rsidRPr="00214AB0">
          <w:rPr>
            <w:rStyle w:val="a4"/>
            <w:color w:val="auto"/>
            <w:u w:val="none"/>
          </w:rPr>
          <w:t>Приказом Минфина РФ от 01.12.2010 № 157н</w:t>
        </w:r>
      </w:hyperlink>
      <w:r w:rsidRPr="00214AB0"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</w:t>
      </w:r>
      <w:r w:rsidR="000071A3" w:rsidRPr="00214AB0">
        <w:t xml:space="preserve"> го</w:t>
      </w:r>
      <w:r w:rsidRPr="00214AB0">
        <w:t>сударственных (муниципальных) учреждений и Инструкции по его применению» (далее – </w:t>
      </w:r>
      <w:hyperlink r:id="rId6" w:tgtFrame="_blank" w:history="1">
        <w:r w:rsidRPr="00214AB0">
          <w:rPr>
            <w:rStyle w:val="a4"/>
            <w:color w:val="auto"/>
            <w:u w:val="none"/>
          </w:rPr>
          <w:t>Инструкция № 157н</w:t>
        </w:r>
      </w:hyperlink>
      <w:r w:rsidRPr="00214AB0">
        <w:t>), </w:t>
      </w:r>
    </w:p>
    <w:p w:rsidR="006F5C18" w:rsidRPr="00214AB0" w:rsidRDefault="000071A3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b/>
          <w:bCs/>
          <w:color w:val="000000"/>
        </w:rPr>
        <w:tab/>
      </w:r>
      <w:r w:rsidRPr="00214AB0">
        <w:rPr>
          <w:b/>
          <w:bCs/>
          <w:color w:val="000000"/>
        </w:rPr>
        <w:tab/>
      </w:r>
      <w:r w:rsidR="006F5C18" w:rsidRPr="00214AB0">
        <w:rPr>
          <w:b/>
          <w:bCs/>
          <w:color w:val="000000"/>
        </w:rPr>
        <w:t>Комиссия по поступлению и выбытию активов</w:t>
      </w:r>
    </w:p>
    <w:p w:rsidR="006F5C18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1. Комиссия по поступлению и выбытию активов (далее – Комиссия) создается в соответствии с законодательством РФ и действует на постоянной основе.</w:t>
      </w:r>
    </w:p>
    <w:p w:rsidR="006F5C18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2. Персональный состав Комиссии утверждается приказом руководителя.</w:t>
      </w:r>
    </w:p>
    <w:p w:rsidR="006F5C18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6F5C18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4. Комиссия проводит заседания по мере необходимости</w:t>
      </w:r>
      <w:r w:rsidR="000071A3" w:rsidRPr="00214AB0">
        <w:rPr>
          <w:color w:val="000000"/>
        </w:rPr>
        <w:t>.</w:t>
      </w:r>
    </w:p>
    <w:p w:rsidR="006F5C18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5. Срок рассмотрения Комиссией представленных ей документов не должен превышать 14 дней.</w:t>
      </w:r>
    </w:p>
    <w:p w:rsidR="006F5C18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6. Решения Комиссии считаются правомочными, если на ее заседании присутствует не менее 2/3 от общего числа ее членов.</w:t>
      </w:r>
    </w:p>
    <w:p w:rsidR="000071A3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7. Комиссия принимает решение по поступлению и выбытию основных средств, материальных запасов и нематериальных активов</w:t>
      </w:r>
      <w:r w:rsidR="000071A3" w:rsidRPr="00214AB0">
        <w:rPr>
          <w:color w:val="000000"/>
        </w:rPr>
        <w:t>.</w:t>
      </w:r>
    </w:p>
    <w:p w:rsidR="006F5C18" w:rsidRPr="00214AB0" w:rsidRDefault="006F5C18" w:rsidP="000071A3">
      <w:pPr>
        <w:pStyle w:val="a3"/>
        <w:spacing w:before="0" w:beforeAutospacing="0" w:after="300" w:afterAutospacing="0"/>
        <w:ind w:left="1416" w:firstLine="708"/>
        <w:rPr>
          <w:color w:val="000000"/>
        </w:rPr>
      </w:pPr>
      <w:r w:rsidRPr="00214AB0">
        <w:rPr>
          <w:b/>
          <w:bCs/>
          <w:color w:val="000000"/>
        </w:rPr>
        <w:t>Цели, задачи и полномочия Комиссии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8. Целью работы 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имущ</w:t>
      </w:r>
      <w:r w:rsidR="000071A3" w:rsidRPr="00214AB0">
        <w:rPr>
          <w:color w:val="000000"/>
        </w:rPr>
        <w:t>ества, находящегося у Администрации,</w:t>
      </w:r>
      <w:r w:rsidRPr="00214AB0">
        <w:rPr>
          <w:color w:val="000000"/>
        </w:rPr>
        <w:t xml:space="preserve"> а также списанию материальных запасов.</w:t>
      </w:r>
    </w:p>
    <w:p w:rsidR="006F5C18" w:rsidRPr="00214AB0" w:rsidRDefault="006F5C18" w:rsidP="006F5C18">
      <w:pPr>
        <w:pStyle w:val="a3"/>
        <w:spacing w:before="0" w:beforeAutospacing="0" w:after="300" w:afterAutospacing="0"/>
        <w:rPr>
          <w:color w:val="000000"/>
        </w:rPr>
      </w:pPr>
      <w:r w:rsidRPr="00214AB0">
        <w:rPr>
          <w:color w:val="000000"/>
        </w:rPr>
        <w:t>9. Комиссия принимает решения по следующим вопросам: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об отнесении объектов имущества к основным средствам и определении признака отнесения к особо ценному движимому имуществу;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lastRenderedPageBreak/>
        <w:t>– о сроке полезного использования поступающих в учреждение основных средств и нематериальных активов;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об определении группы аналитического учета, кодов по ОКОФ основных средств и нематериальных активов;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первоначальной (фактической) стоимости принимаемых к учету основных средств, нематериальных активов;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об определении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 xml:space="preserve">–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10 000 руб. включительно, учитываемых на </w:t>
      </w:r>
      <w:proofErr w:type="spellStart"/>
      <w:r w:rsidRPr="00214AB0">
        <w:rPr>
          <w:color w:val="000000"/>
        </w:rPr>
        <w:t>забалансовом</w:t>
      </w:r>
      <w:proofErr w:type="spellEnd"/>
      <w:r w:rsidRPr="00214AB0">
        <w:rPr>
          <w:color w:val="000000"/>
        </w:rPr>
        <w:t xml:space="preserve"> учете;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 xml:space="preserve">– о списании (выбытии) основных средств, нематериальных активов в установленном порядке, в том числе объектов движимого имущества стоимостью до 10 000 руб. включительно, учитываемых на </w:t>
      </w:r>
      <w:proofErr w:type="spellStart"/>
      <w:r w:rsidRPr="00214AB0">
        <w:rPr>
          <w:color w:val="000000"/>
        </w:rPr>
        <w:t>забалансовом</w:t>
      </w:r>
      <w:proofErr w:type="spellEnd"/>
      <w:r w:rsidRPr="00214AB0">
        <w:rPr>
          <w:color w:val="000000"/>
        </w:rPr>
        <w:t xml:space="preserve"> учете;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поступлении и выбытии библиотечного фонда;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выбытии периодических изданий;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об изъятии и передаче материально-ответственному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сдаче вторичного сырья в организации приема такого сырья;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t>–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214AB0">
        <w:rPr>
          <w:color w:val="000000"/>
        </w:rPr>
        <w:lastRenderedPageBreak/>
        <w:t>10.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способом, обеспечивающим сохранность маркировки.</w:t>
      </w:r>
    </w:p>
    <w:p w:rsidR="006F5C18" w:rsidRPr="00214AB0" w:rsidRDefault="006F5C18" w:rsidP="00214AB0">
      <w:pPr>
        <w:pStyle w:val="a3"/>
        <w:spacing w:before="0" w:beforeAutospacing="0" w:after="300" w:afterAutospacing="0"/>
        <w:jc w:val="center"/>
      </w:pPr>
      <w:r w:rsidRPr="00214AB0">
        <w:rPr>
          <w:b/>
          <w:bCs/>
        </w:rPr>
        <w:t>Порядок принятия решений Комиссией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11. Решение Комиссии об отнесении объекта имущества к основным средствам, нематериальным активам, материальным запасам осуществляется на основании </w:t>
      </w:r>
      <w:hyperlink r:id="rId7" w:tgtFrame="_blank" w:history="1">
        <w:r w:rsidRPr="00214AB0">
          <w:rPr>
            <w:rStyle w:val="a4"/>
            <w:color w:val="auto"/>
            <w:u w:val="none"/>
          </w:rPr>
          <w:t>Инструкции № 157н</w:t>
        </w:r>
      </w:hyperlink>
      <w:r w:rsidRPr="00214AB0">
        <w:t>, федеральных стандартов бухгалтерского учета государственных финансов и иных нормативных правовых актов.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12. 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информации, содержащейся в законодательстве РФ, устанавливающем сроки полезного использования имущества в целях начисления амортизации.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 xml:space="preserve">.13. Решение Комиссии о первоначальной (фактической) стоимости поступающих в </w:t>
      </w:r>
      <w:r w:rsidR="00D200AD" w:rsidRPr="00214AB0">
        <w:t xml:space="preserve">Администрацию </w:t>
      </w:r>
      <w:r w:rsidRPr="00214AB0">
        <w:t>на праве оперативного управления основных средств и нематериальных активов принимается на основании: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отчетов об оценке независимых оценщиков (по основным средствам и нематериальным активам, принимаемым в соответствии с Инструкцией 157н, по оценочной стоимости на дату принятия к учету);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 xml:space="preserve">– данных о ценах на аналогичные материальные ценности, полученных в письменной форме от организаций-изготовителей, сведений об уровне цен, имеющихся у органов государственной статистики, торговых инспекций, а также в средствах массовой </w:t>
      </w:r>
      <w:r w:rsidRPr="00214AB0">
        <w:lastRenderedPageBreak/>
        <w:t>информации и специальной литературе, экспертных заключениях (в том числе экспертов, привлеченных на добровольных началах к работе в Комиссии).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14. Решение Комиссии о принятии к учету основных средств, материальных запасов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унифицированным формам в соответствии с </w:t>
      </w:r>
      <w:hyperlink r:id="rId8" w:tgtFrame="_blank" w:history="1">
        <w:r w:rsidRPr="00214AB0">
          <w:rPr>
            <w:rStyle w:val="a4"/>
            <w:color w:val="auto"/>
            <w:u w:val="none"/>
          </w:rPr>
          <w:t>Приказом Минфина РФ от 30.03.2015 № 52н</w:t>
        </w:r>
      </w:hyperlink>
      <w:r w:rsidRPr="00214AB0">
        <w:t> 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 – Приказ Минфина РФ № 52н).</w:t>
      </w:r>
    </w:p>
    <w:p w:rsidR="006F5C18" w:rsidRPr="00214AB0" w:rsidRDefault="00D200AD" w:rsidP="0000171C">
      <w:pPr>
        <w:pStyle w:val="a3"/>
        <w:spacing w:before="0" w:beforeAutospacing="0" w:after="300" w:afterAutospacing="0"/>
        <w:jc w:val="both"/>
      </w:pPr>
      <w:r w:rsidRPr="00214AB0">
        <w:t>15</w:t>
      </w:r>
      <w:r w:rsidR="006F5C18" w:rsidRPr="00214AB0">
        <w:t>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установление конкретных причин списания (выбытия) (износ физический, моральный, авария, нарушение условий эксплуатации, ликвидация при реконструкции, другие причины);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определение возможности использования отдельных узлов, деталей, конструкций и материалов, выбывающих основных средств и определение их оценочной стоимости на дату принятия к учету.</w:t>
      </w:r>
    </w:p>
    <w:p w:rsidR="006F5C18" w:rsidRPr="00214AB0" w:rsidRDefault="00D200AD" w:rsidP="0000171C">
      <w:pPr>
        <w:pStyle w:val="a3"/>
        <w:spacing w:before="0" w:beforeAutospacing="0" w:after="300" w:afterAutospacing="0"/>
        <w:jc w:val="both"/>
      </w:pPr>
      <w:r w:rsidRPr="00214AB0">
        <w:t>16</w:t>
      </w:r>
      <w:r w:rsidR="006F5C18" w:rsidRPr="00214AB0">
        <w:t>. Решение Комиссии о списании (выбытии) основных средств, нематериальных активов принимается с учетом:</w:t>
      </w:r>
    </w:p>
    <w:p w:rsidR="00D200AD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 использованию по назначению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наличия драгоценных металлов и драгоценных камней, содержащихся в списываемых основных средствах, которые учитываются в порядке, установленном </w:t>
      </w:r>
      <w:hyperlink r:id="rId9" w:tgtFrame="_blank" w:history="1">
        <w:r w:rsidRPr="00214AB0">
          <w:rPr>
            <w:rStyle w:val="a4"/>
            <w:color w:val="auto"/>
            <w:u w:val="none"/>
          </w:rPr>
          <w:t xml:space="preserve">Приказом Минфина </w:t>
        </w:r>
        <w:r w:rsidRPr="00214AB0">
          <w:rPr>
            <w:rStyle w:val="a4"/>
            <w:color w:val="auto"/>
            <w:u w:val="none"/>
          </w:rPr>
          <w:lastRenderedPageBreak/>
          <w:t>РФ от 09.12.2016 № 231н</w:t>
        </w:r>
      </w:hyperlink>
      <w:r w:rsidRPr="00214AB0">
        <w:t> 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наличия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6F5C18" w:rsidRPr="00214AB0" w:rsidRDefault="006F5C18" w:rsidP="0000171C">
      <w:pPr>
        <w:pStyle w:val="a3"/>
        <w:spacing w:before="0" w:beforeAutospacing="0" w:after="300" w:afterAutospacing="0"/>
        <w:jc w:val="both"/>
      </w:pPr>
      <w:r w:rsidRPr="00214AB0">
        <w:t>– наличия иных документов, подтверждающих факт преждевременного выбытия имущества из владения, пользования и распоряжения.</w:t>
      </w:r>
    </w:p>
    <w:p w:rsidR="006F5C18" w:rsidRPr="00214AB0" w:rsidRDefault="00315726" w:rsidP="0000171C">
      <w:pPr>
        <w:pStyle w:val="a3"/>
        <w:spacing w:before="0" w:beforeAutospacing="0" w:after="300" w:afterAutospacing="0"/>
        <w:jc w:val="both"/>
      </w:pPr>
      <w:r w:rsidRPr="00214AB0">
        <w:t>17</w:t>
      </w:r>
      <w:r w:rsidR="006F5C18" w:rsidRPr="00214AB0">
        <w:t>.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 в соответст</w:t>
      </w:r>
      <w:r w:rsidRPr="00214AB0">
        <w:t xml:space="preserve">вии с Приказом Минфина РФ № 52 и передается в бухгалтерию </w:t>
      </w:r>
      <w:r w:rsidR="0000171C" w:rsidRPr="00214AB0">
        <w:t>Администрации.</w:t>
      </w:r>
    </w:p>
    <w:p w:rsidR="0000171C" w:rsidRDefault="0000171C" w:rsidP="0000171C">
      <w:pPr>
        <w:pStyle w:val="a3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</w:p>
    <w:p w:rsidR="0000171C" w:rsidRDefault="0000171C" w:rsidP="0000171C">
      <w:pPr>
        <w:pStyle w:val="a3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</w:p>
    <w:p w:rsidR="0000171C" w:rsidRDefault="0000171C" w:rsidP="0000171C">
      <w:pPr>
        <w:pStyle w:val="a3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</w:p>
    <w:p w:rsidR="0000171C" w:rsidRDefault="0000171C" w:rsidP="0000171C">
      <w:pPr>
        <w:pStyle w:val="a3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</w:p>
    <w:p w:rsidR="0000171C" w:rsidRDefault="0000171C" w:rsidP="00622245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214AB0" w:rsidRDefault="00214AB0" w:rsidP="00622245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214AB0" w:rsidRDefault="00214AB0" w:rsidP="00622245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214AB0" w:rsidRDefault="00214AB0" w:rsidP="00622245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214AB0" w:rsidRDefault="00214AB0" w:rsidP="00622245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214AB0" w:rsidRDefault="00214AB0" w:rsidP="00622245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214AB0" w:rsidRDefault="00214AB0" w:rsidP="00622245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</w:p>
    <w:p w:rsidR="0000171C" w:rsidRPr="0000171C" w:rsidRDefault="0000171C" w:rsidP="0000171C">
      <w:pPr>
        <w:pStyle w:val="a3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00171C" w:rsidRPr="0000171C" w:rsidSect="0076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E9"/>
    <w:rsid w:val="0000171C"/>
    <w:rsid w:val="000071A3"/>
    <w:rsid w:val="00214AB0"/>
    <w:rsid w:val="00315726"/>
    <w:rsid w:val="0046147F"/>
    <w:rsid w:val="00481E62"/>
    <w:rsid w:val="00622245"/>
    <w:rsid w:val="006F5C18"/>
    <w:rsid w:val="007231A8"/>
    <w:rsid w:val="0076769D"/>
    <w:rsid w:val="00802103"/>
    <w:rsid w:val="00804F71"/>
    <w:rsid w:val="009062FC"/>
    <w:rsid w:val="009A48E9"/>
    <w:rsid w:val="009A7CAA"/>
    <w:rsid w:val="009B0CAF"/>
    <w:rsid w:val="00D2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C18"/>
    <w:rPr>
      <w:color w:val="0000FF"/>
      <w:u w:val="single"/>
    </w:rPr>
  </w:style>
  <w:style w:type="paragraph" w:customStyle="1" w:styleId="1">
    <w:name w:val="Без интервала1"/>
    <w:rsid w:val="009062FC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10">
    <w:name w:val="Обычный (веб)1"/>
    <w:basedOn w:val="a"/>
    <w:rsid w:val="009062FC"/>
    <w:pPr>
      <w:keepNext/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5/doc_id/10614/release_id/600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ar-info.ru/na/editSection/index/type_id/5/doc_id/14439/release_id/601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Section/index/type_id/5/doc_id/14439/release_id/6019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dar-info.ru/na/editSection/index/type_id/5/doc_id/14439/release_id/6019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udar-info.ru/na/editSection/index/type_id/5/doc_id/14439/release_id/60198/" TargetMode="External"/><Relationship Id="rId9" Type="http://schemas.openxmlformats.org/officeDocument/2006/relationships/hyperlink" Target="https://audar-info.ru/na/editSection/index/type_id/5/doc_id/7623/release_id/34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cp:lastPrinted>2021-02-05T10:58:00Z</cp:lastPrinted>
  <dcterms:created xsi:type="dcterms:W3CDTF">2021-02-05T10:46:00Z</dcterms:created>
  <dcterms:modified xsi:type="dcterms:W3CDTF">2021-02-05T10:59:00Z</dcterms:modified>
</cp:coreProperties>
</file>