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A" w:rsidRPr="009E231F" w:rsidRDefault="00F016FA" w:rsidP="00F016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E23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МИНИСТЕРСТВО ТРУДА И СОЦИАЛЬНОЙ ЗАЩИТЫ</w:t>
      </w:r>
    </w:p>
    <w:p w:rsidR="00F016FA" w:rsidRPr="009E231F" w:rsidRDefault="00F016FA" w:rsidP="00F016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E23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РОССИЙСКОЙ ФЕДЕРАЦИИ</w:t>
      </w:r>
    </w:p>
    <w:p w:rsidR="00F016FA" w:rsidRPr="009E231F" w:rsidRDefault="00F016FA" w:rsidP="00F016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16FA" w:rsidRPr="009E231F" w:rsidRDefault="00F016FA" w:rsidP="00F016F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E231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ФЕДЕРАЛЬНАЯ СЛУЖБА ПО ТРУДУ И ЗАНЯТОСТИ</w:t>
      </w:r>
    </w:p>
    <w:p w:rsidR="00F016FA" w:rsidRPr="00D80711" w:rsidRDefault="00F016FA" w:rsidP="00F016F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016FA" w:rsidRDefault="00F016FA" w:rsidP="00F016F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inline distT="0" distB="0" distL="0" distR="0">
            <wp:extent cx="4930458" cy="3698544"/>
            <wp:effectExtent l="0" t="0" r="0" b="0"/>
            <wp:docPr id="3" name="Рисунок 3" descr="C:\Users\Yxarskaia\Desktop\46ecfdf38b7ab0653d44310e5241b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xarskaia\Desktop\46ecfdf38b7ab0653d44310e5241b4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41" cy="37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FA" w:rsidRPr="00110EA5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0E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Государственная инспекция труда </w:t>
      </w:r>
    </w:p>
    <w:p w:rsidR="00F016FA" w:rsidRPr="00110EA5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10E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Республике Хакасия</w:t>
      </w:r>
    </w:p>
    <w:p w:rsidR="00F016FA" w:rsidRPr="009E231F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F016FA" w:rsidRPr="00110EA5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0EA5"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Информационный бюллетень о состоянии производственного тра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вматизма в Республике Хакасия за 9 месяцев  2019</w:t>
      </w:r>
      <w:r w:rsidRPr="00110E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 №4</w:t>
      </w:r>
    </w:p>
    <w:p w:rsidR="00F016FA" w:rsidRPr="009E231F" w:rsidRDefault="00F016FA" w:rsidP="00F016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F016FA" w:rsidRPr="009E231F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F016FA" w:rsidRPr="009E231F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16FA" w:rsidRPr="009E231F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E23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Абакан – 2019</w:t>
      </w:r>
    </w:p>
    <w:p w:rsidR="00F016FA" w:rsidRPr="009E231F" w:rsidRDefault="00F016FA" w:rsidP="00F016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16FA" w:rsidRDefault="00F016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бюллетень о состоянии производственного травматизма в Республике Хакасия за 9 месяцев 2019г.</w:t>
      </w:r>
    </w:p>
    <w:p w:rsidR="00F35D21" w:rsidRPr="00844BF8" w:rsidRDefault="00F35D21" w:rsidP="00F35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Госинспекцией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 Республике Хакасия за 9 мес. 2019 года в результате государственного надзора и контроля было выявлено 650 нарушений по охране труда, 15 из которых – по вопросам расследования, оформления и учета несчастных случаев на производстве. 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/>
          <w:color w:val="000000" w:themeColor="text1"/>
          <w:sz w:val="28"/>
          <w:szCs w:val="28"/>
        </w:rPr>
        <w:t xml:space="preserve">Гострудинспекция учитывает </w:t>
      </w: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групповые, тяжелые, со смертельным исходом, а так же несчастные случаи не связанные с производством.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Статистика травматизма по Республике Хакасия</w:t>
      </w:r>
    </w:p>
    <w:p w:rsidR="00F35D21" w:rsidRPr="00844BF8" w:rsidRDefault="00F35D21" w:rsidP="00F35D2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F35D21" w:rsidRPr="00844BF8" w:rsidRDefault="00F35D21" w:rsidP="00F35D2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844BF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данным Гострудинспекции:</w:t>
      </w:r>
    </w:p>
    <w:p w:rsidR="00F35D21" w:rsidRPr="00844BF8" w:rsidRDefault="00F35D21" w:rsidP="00F35D2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993"/>
        <w:gridCol w:w="851"/>
        <w:gridCol w:w="1276"/>
        <w:gridCol w:w="1559"/>
        <w:gridCol w:w="1559"/>
        <w:gridCol w:w="2126"/>
        <w:gridCol w:w="1843"/>
      </w:tblGrid>
      <w:tr w:rsidR="00F35D21" w:rsidRPr="00844BF8" w:rsidTr="00586716">
        <w:tc>
          <w:tcPr>
            <w:tcW w:w="993" w:type="dxa"/>
            <w:vMerge w:val="restart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851" w:type="dxa"/>
            <w:vMerge w:val="restart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случаев</w:t>
            </w:r>
            <w:proofErr w:type="spellEnd"/>
          </w:p>
        </w:tc>
        <w:tc>
          <w:tcPr>
            <w:tcW w:w="2835" w:type="dxa"/>
            <w:gridSpan w:val="2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них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vMerge w:val="restart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несчастные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случаи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35D21" w:rsidRPr="00844BF8" w:rsidTr="00586716">
        <w:trPr>
          <w:trHeight w:val="276"/>
        </w:trPr>
        <w:tc>
          <w:tcPr>
            <w:tcW w:w="993" w:type="dxa"/>
            <w:vMerge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связанных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производством</w:t>
            </w:r>
            <w:proofErr w:type="spellEnd"/>
          </w:p>
        </w:tc>
        <w:tc>
          <w:tcPr>
            <w:tcW w:w="1559" w:type="dxa"/>
            <w:vMerge w:val="restart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связанных</w:t>
            </w:r>
            <w:proofErr w:type="spell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производством</w:t>
            </w:r>
            <w:proofErr w:type="spellEnd"/>
          </w:p>
        </w:tc>
        <w:tc>
          <w:tcPr>
            <w:tcW w:w="5528" w:type="dxa"/>
            <w:gridSpan w:val="3"/>
            <w:vMerge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5D21" w:rsidRPr="00844BF8" w:rsidTr="00586716">
        <w:tc>
          <w:tcPr>
            <w:tcW w:w="993" w:type="dxa"/>
            <w:vMerge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Групповые</w:t>
            </w:r>
            <w:proofErr w:type="gram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/ не связанные с производством</w:t>
            </w:r>
          </w:p>
        </w:tc>
        <w:tc>
          <w:tcPr>
            <w:tcW w:w="2126" w:type="dxa"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Тяжелые</w:t>
            </w:r>
            <w:proofErr w:type="gram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/ не связанные с производством</w:t>
            </w:r>
          </w:p>
        </w:tc>
        <w:tc>
          <w:tcPr>
            <w:tcW w:w="1843" w:type="dxa"/>
          </w:tcPr>
          <w:p w:rsidR="00F35D21" w:rsidRPr="00844BF8" w:rsidRDefault="00F35D21" w:rsidP="005867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Смертельные</w:t>
            </w:r>
            <w:proofErr w:type="gramEnd"/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/ не связанные с производством</w:t>
            </w:r>
          </w:p>
        </w:tc>
      </w:tr>
      <w:tr w:rsidR="00F35D21" w:rsidRPr="00844BF8" w:rsidTr="00586716">
        <w:tc>
          <w:tcPr>
            <w:tcW w:w="993" w:type="dxa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4B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 мес.</w:t>
            </w:r>
            <w:r w:rsidRPr="00844B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2019 г.</w:t>
            </w:r>
          </w:p>
        </w:tc>
        <w:tc>
          <w:tcPr>
            <w:tcW w:w="851" w:type="dxa"/>
            <w:vAlign w:val="center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44B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vAlign w:val="center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44B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44B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844BF8">
              <w:rPr>
                <w:b/>
                <w:color w:val="000000" w:themeColor="text1"/>
                <w:lang w:val="en-US"/>
              </w:rPr>
              <w:t>1</w:t>
            </w:r>
            <w:r w:rsidRPr="00844BF8">
              <w:rPr>
                <w:b/>
                <w:color w:val="000000" w:themeColor="text1"/>
              </w:rPr>
              <w:t>/0</w:t>
            </w:r>
          </w:p>
        </w:tc>
        <w:tc>
          <w:tcPr>
            <w:tcW w:w="2126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b/>
                <w:color w:val="000000" w:themeColor="text1"/>
              </w:rPr>
            </w:pPr>
            <w:r w:rsidRPr="00844BF8">
              <w:rPr>
                <w:b/>
                <w:color w:val="000000" w:themeColor="text1"/>
              </w:rPr>
              <w:t>17/1</w:t>
            </w:r>
          </w:p>
        </w:tc>
        <w:tc>
          <w:tcPr>
            <w:tcW w:w="1843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b/>
                <w:color w:val="000000" w:themeColor="text1"/>
              </w:rPr>
            </w:pPr>
            <w:r w:rsidRPr="00844BF8">
              <w:rPr>
                <w:b/>
                <w:color w:val="000000" w:themeColor="text1"/>
              </w:rPr>
              <w:t>8/8</w:t>
            </w:r>
          </w:p>
        </w:tc>
      </w:tr>
      <w:tr w:rsidR="00F35D21" w:rsidRPr="00844BF8" w:rsidTr="00586716">
        <w:tc>
          <w:tcPr>
            <w:tcW w:w="993" w:type="dxa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35D21" w:rsidRPr="00844BF8" w:rsidRDefault="00F35D21" w:rsidP="005867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44B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color w:val="000000" w:themeColor="text1"/>
                <w:lang w:val="en-US"/>
              </w:rPr>
            </w:pPr>
            <w:r w:rsidRPr="00844BF8">
              <w:rPr>
                <w:color w:val="000000" w:themeColor="text1"/>
                <w:lang w:val="en-US"/>
              </w:rPr>
              <w:t>1</w:t>
            </w:r>
            <w:r w:rsidRPr="00844BF8">
              <w:rPr>
                <w:color w:val="000000" w:themeColor="text1"/>
              </w:rPr>
              <w:t>/0</w:t>
            </w:r>
          </w:p>
        </w:tc>
        <w:tc>
          <w:tcPr>
            <w:tcW w:w="2126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color w:val="000000" w:themeColor="text1"/>
              </w:rPr>
            </w:pPr>
            <w:r w:rsidRPr="00844BF8">
              <w:rPr>
                <w:color w:val="000000" w:themeColor="text1"/>
              </w:rPr>
              <w:t>24/1</w:t>
            </w:r>
          </w:p>
        </w:tc>
        <w:tc>
          <w:tcPr>
            <w:tcW w:w="1843" w:type="dxa"/>
            <w:vAlign w:val="center"/>
          </w:tcPr>
          <w:p w:rsidR="00F35D21" w:rsidRPr="00844BF8" w:rsidRDefault="00F35D21" w:rsidP="00586716">
            <w:pPr>
              <w:pStyle w:val="2"/>
              <w:ind w:firstLine="0"/>
              <w:jc w:val="center"/>
              <w:rPr>
                <w:color w:val="000000" w:themeColor="text1"/>
              </w:rPr>
            </w:pPr>
            <w:r w:rsidRPr="00844BF8">
              <w:rPr>
                <w:color w:val="000000" w:themeColor="text1"/>
              </w:rPr>
              <w:t>18/10</w:t>
            </w:r>
          </w:p>
        </w:tc>
      </w:tr>
    </w:tbl>
    <w:p w:rsidR="00F35D21" w:rsidRPr="00844BF8" w:rsidRDefault="00F35D21" w:rsidP="00F35D21">
      <w:pPr>
        <w:rPr>
          <w:color w:val="000000" w:themeColor="text1"/>
        </w:rPr>
      </w:pPr>
    </w:p>
    <w:p w:rsidR="00F35D21" w:rsidRPr="00844BF8" w:rsidRDefault="00F35D21" w:rsidP="00F35D2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Хакасия по 2018 год включительно сохранялась </w:t>
      </w:r>
      <w:proofErr w:type="gram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тенденция снижения уровня производственного травматизма (в 2017 – расследовано 45 несчастных случаев, в 2018 – 43.</w:t>
      </w:r>
      <w:proofErr w:type="gram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9 мес. 2019 – 39, (9 мес.     2018г. – 32),что на 21% выше АППГ. В ходе несчастных случаев, оформленных актами по форме Н-1 ,зарегистрированных в РХ несчастных случаев с тяжелыми последствиями, связанными с производством, пострадало 18 человек (23- в 2018г. за АППГ).</w:t>
      </w:r>
    </w:p>
    <w:p w:rsidR="00F35D21" w:rsidRPr="00844BF8" w:rsidRDefault="00F35D21" w:rsidP="00F35D21">
      <w:pPr>
        <w:pStyle w:val="1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За 9 мес. 2019 зарегистрирован 1 групповой несчастный случай, погибшие в нем работники отсутствуют, что соответствует АППГ.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РХ наблюдается снижение количества несчастных случаев связанных с производством   со смертельным исходом. В 2017г. – 5 случаев, в 2018г. – 4 случая. За 9 мес. 2019г.- случаи не зарегистрированы. 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мес. 2019г. расследовано 8 несчастных случаев со смертельным </w:t>
      </w:r>
      <w:proofErr w:type="gram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исходом</w:t>
      </w:r>
      <w:proofErr w:type="gram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все квалифицированы как не связанные с производством</w:t>
      </w:r>
      <w:r w:rsidRPr="00844B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причиной несчастных случаев, явилась смерть работников по естественным причинам.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в ходе расследования несчастных случаев, установлены нарушения трудового законодательства. Также, в ряде расследований </w:t>
      </w: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несчастных случаев выявлены нарушения в части </w:t>
      </w:r>
      <w:r w:rsidRPr="00844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проведения обязательных медицинских осмотров</w:t>
      </w: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работников. Так в частности, при расследовании  несчастного случая с работником ООО ЧОО «Форт» установлен факт смерти работника в связи с заболеванием сердца, при этом обязательный медицинский осмотр (как предварительный, так и периодический) не проводился.  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при расследовании смертельного несчастного случая по причине естественной смерти  работников ООО «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Сорский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ферромолибденовый завод», ГБУЗ РХ «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Саяногорская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станция скорой медицинской помощи» установлено, что пострадавшие работники незадолго до несчастного случая </w:t>
      </w:r>
      <w:r w:rsidRPr="00844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проходили периодические медицинские</w:t>
      </w: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осмотры. При этом</w:t>
      </w:r>
      <w:proofErr w:type="gram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каких-либо противопоказаний в ходе медицинских осмотров выявлено не было. С целью оценки полноты и качества проведенных медицинских осмотров соответствующие материалы направлены в Министерство здравоохранения РХ и территориальное подразделение Федеральной службы по надзору в сфере здравоохранения. 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при расследовании  несчастного случая в АО ДЭП №369 установлен факт смерти водителя от острой коронарной недостаточности после прохождения 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предрейсового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медосмотра, при котором противопоказаний к управлению транспортным средством выявлено не было. В ходе проверки установлено, что в отношении этого работника систематически нарушался режим труда и отдыха, он привлекался к сверхурочным работам в нарушение норм рабочего времени. Так в январе он отработал 254 ч., в феврале 192 часа и т.д., тогда как особенности рабочего времени и времени отдыха водителей   установлены положением, утвержденным приказом Минтранса РФ. Нормальная продолжительность рабочего времени водителей не может превышать 40 часов в неделю. При суммированном учете рабочего времени продолжительность ежедневной работы водителей не может превышать 10 часов.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выявленными нарушениями юридические и должностные лица указанных хозяйствующих субъектов привлечены к административной ответственности. 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высокий уровень травматизма с тяжелым исходом наблюдается в организациях добычи полезных ископаемых (22%), сферы производства оборудования и обработки (22%).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44BF8">
        <w:rPr>
          <w:color w:val="000000" w:themeColor="text1"/>
          <w:sz w:val="28"/>
          <w:szCs w:val="28"/>
        </w:rPr>
        <w:t>Из общего количества несчастных случаев с тяжелым исходом  46% (6) – зарегистрированы в организациях малого и среднего бизнеса (аналогично в АППГ), 22% (4) - в бюджетных учреждениях  (3 –АППГ), 23% - на предприятиях крупного бизнеса. Например, в 2019г., в ПАО «</w:t>
      </w:r>
      <w:proofErr w:type="spellStart"/>
      <w:r w:rsidRPr="00844BF8">
        <w:rPr>
          <w:color w:val="000000" w:themeColor="text1"/>
          <w:sz w:val="28"/>
          <w:szCs w:val="28"/>
        </w:rPr>
        <w:t>Коммунаровский</w:t>
      </w:r>
      <w:proofErr w:type="spellEnd"/>
      <w:r w:rsidRPr="00844BF8">
        <w:rPr>
          <w:color w:val="000000" w:themeColor="text1"/>
          <w:sz w:val="28"/>
          <w:szCs w:val="28"/>
        </w:rPr>
        <w:t xml:space="preserve"> рудник» произошло 3 несчастных случая с тяжелым исходом. Последний несчастный случай произошел 10 октября 2019г. В результате обрушения породы пострадал один человек. Расследование не закончено.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44BF8">
        <w:rPr>
          <w:color w:val="000000" w:themeColor="text1"/>
          <w:sz w:val="28"/>
          <w:szCs w:val="28"/>
        </w:rPr>
        <w:lastRenderedPageBreak/>
        <w:t xml:space="preserve">Групповой несчастный случай произошел в  АО «Черногорский РМЗ». Слесарь-ремонтник и </w:t>
      </w:r>
      <w:proofErr w:type="spellStart"/>
      <w:r w:rsidRPr="00844BF8">
        <w:rPr>
          <w:color w:val="000000" w:themeColor="text1"/>
          <w:sz w:val="28"/>
          <w:szCs w:val="28"/>
        </w:rPr>
        <w:t>электрогазосварщик</w:t>
      </w:r>
      <w:proofErr w:type="spellEnd"/>
      <w:r w:rsidRPr="00844BF8">
        <w:rPr>
          <w:color w:val="000000" w:themeColor="text1"/>
          <w:sz w:val="28"/>
          <w:szCs w:val="28"/>
        </w:rPr>
        <w:t xml:space="preserve"> получили наряд-задание на изготовление подставки для хранения и розлива бочек с маслом. Для того</w:t>
      </w:r>
      <w:proofErr w:type="gramStart"/>
      <w:r w:rsidRPr="00844BF8">
        <w:rPr>
          <w:color w:val="000000" w:themeColor="text1"/>
          <w:sz w:val="28"/>
          <w:szCs w:val="28"/>
        </w:rPr>
        <w:t>,</w:t>
      </w:r>
      <w:proofErr w:type="gramEnd"/>
      <w:r w:rsidRPr="00844BF8">
        <w:rPr>
          <w:color w:val="000000" w:themeColor="text1"/>
          <w:sz w:val="28"/>
          <w:szCs w:val="28"/>
        </w:rPr>
        <w:t xml:space="preserve"> чтобы убедиться в том, что подготовленный вариант подставки совпадает с габаритами бочки, работники приняли решение о примерке бочки, в получившуюся конструкцию. Двухсот двадцати литровая бочка из-под горюче-смазочных материалов была вложена в конструкцию подставки. В это время сварочный электрод коснулся бочки, произошел прогар стенки, взрыв паров и воспламенение остатков горюче-смазочных материалов. В результате взрыва воспламенилась спецодежда, в которую были одеты работники. Оба работника получили травмы, один из которых получил травмы тяжелой степени.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44BF8">
        <w:rPr>
          <w:color w:val="000000" w:themeColor="text1"/>
          <w:sz w:val="28"/>
          <w:szCs w:val="28"/>
        </w:rPr>
        <w:t xml:space="preserve">Основная причина н.сл. - неудовлетворительная организация производства работ, выразившаяся в недостаточном </w:t>
      </w:r>
      <w:proofErr w:type="gramStart"/>
      <w:r w:rsidRPr="00844BF8">
        <w:rPr>
          <w:color w:val="000000" w:themeColor="text1"/>
          <w:sz w:val="28"/>
          <w:szCs w:val="28"/>
        </w:rPr>
        <w:t>контроле за</w:t>
      </w:r>
      <w:proofErr w:type="gramEnd"/>
      <w:r w:rsidRPr="00844BF8">
        <w:rPr>
          <w:color w:val="000000" w:themeColor="text1"/>
          <w:sz w:val="28"/>
          <w:szCs w:val="28"/>
        </w:rPr>
        <w:t xml:space="preserve"> ходом выполнения работ со стороны ответственного должностного лица; сопутствующая причина - нарушение работниками трудового распорядка и дисциплины труда. При перерывах в работе и по окончании работы запрещено оставлять на рабочем месте электросварочный инструмент, находящийся под электрическим напряжением, а </w:t>
      </w:r>
      <w:proofErr w:type="spellStart"/>
      <w:r w:rsidRPr="00844BF8">
        <w:rPr>
          <w:color w:val="000000" w:themeColor="text1"/>
          <w:sz w:val="28"/>
          <w:szCs w:val="28"/>
        </w:rPr>
        <w:t>электродержатель</w:t>
      </w:r>
      <w:proofErr w:type="spellEnd"/>
      <w:r w:rsidRPr="00844BF8">
        <w:rPr>
          <w:color w:val="000000" w:themeColor="text1"/>
          <w:sz w:val="28"/>
          <w:szCs w:val="28"/>
        </w:rPr>
        <w:t xml:space="preserve"> следует помещать на специальной подставке или штативе.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44BF8">
        <w:rPr>
          <w:color w:val="000000" w:themeColor="text1"/>
          <w:sz w:val="28"/>
          <w:szCs w:val="28"/>
        </w:rPr>
        <w:t xml:space="preserve">Мастером ремонтно-механического участка не обеспечено соблюдение подчиненными лицами трудового законодательства, инструкций и правил, а так же отсутствовал </w:t>
      </w:r>
      <w:proofErr w:type="gramStart"/>
      <w:r w:rsidRPr="00844BF8">
        <w:rPr>
          <w:color w:val="000000" w:themeColor="text1"/>
          <w:sz w:val="28"/>
          <w:szCs w:val="28"/>
        </w:rPr>
        <w:t>контроль за</w:t>
      </w:r>
      <w:proofErr w:type="gramEnd"/>
      <w:r w:rsidRPr="00844BF8">
        <w:rPr>
          <w:color w:val="000000" w:themeColor="text1"/>
          <w:sz w:val="28"/>
          <w:szCs w:val="28"/>
        </w:rPr>
        <w:t xml:space="preserve"> состоянием рабочих мест подчиненного персонала.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44BF8">
        <w:rPr>
          <w:color w:val="000000" w:themeColor="text1"/>
          <w:sz w:val="28"/>
          <w:szCs w:val="28"/>
        </w:rPr>
        <w:t>По результатам расследования, комиссией разработаны мероприятия по устранению причин несчастного случая. Материалы расследования направлены в следственные органы.</w:t>
      </w:r>
    </w:p>
    <w:p w:rsidR="00F35D21" w:rsidRPr="00844BF8" w:rsidRDefault="00F35D21" w:rsidP="00F35D21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844BF8">
        <w:rPr>
          <w:color w:val="000000" w:themeColor="text1"/>
          <w:sz w:val="28"/>
          <w:szCs w:val="28"/>
        </w:rPr>
        <w:t>Госинспекцией</w:t>
      </w:r>
      <w:proofErr w:type="spellEnd"/>
      <w:r w:rsidRPr="00844BF8">
        <w:rPr>
          <w:color w:val="000000" w:themeColor="text1"/>
          <w:sz w:val="28"/>
          <w:szCs w:val="28"/>
        </w:rPr>
        <w:t xml:space="preserve"> труда в РХ в отношении виновных лиц возбуждено административное производство.</w:t>
      </w:r>
    </w:p>
    <w:p w:rsidR="00F35D21" w:rsidRPr="00844BF8" w:rsidRDefault="00F35D21" w:rsidP="00F35D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типологии несчастных случаев в 2019 г. свидетельствует, что   половина несчастных случаев (50%) связаны с падением (75% - в АППГ). При этом 6 несчастных случаев произошло в результате падения с высоты, а 3 несчастных случая  обусловлены личной неосторожностью и падением в результате 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подскальзывания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спотыкания.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тяжелых несчастных случаев произошла по причине неудовлетворительной организации производства работ (39%). Такие несчастные случаи допущен</w:t>
      </w:r>
      <w:proofErr w:type="gram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ы ООО</w:t>
      </w:r>
      <w:proofErr w:type="gram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«Мебельная фабрика 12 стульев», ООО «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Альтара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АО «Черногорский РМЗ», МУП «Благоустройство» г. 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Черногорска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, ГБУ» Республиканская детская клиническая больница», ПАО «</w:t>
      </w:r>
      <w:proofErr w:type="spell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Коммунаровский</w:t>
      </w:r>
      <w:proofErr w:type="spellEnd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рудник».</w:t>
      </w:r>
    </w:p>
    <w:p w:rsidR="00F35D21" w:rsidRPr="00844BF8" w:rsidRDefault="00F35D21" w:rsidP="00F35D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снижения производственного травматизма в республике, ГИТ в РХ направлена информация и предложение в Правительство РХ детально  рассмотреть каждый несчастный случай на заседании Координационного совета по ОТ, а также Республиканской трехсторонней комиссии. </w:t>
      </w:r>
      <w:proofErr w:type="gramEnd"/>
    </w:p>
    <w:p w:rsidR="00F35D21" w:rsidRPr="00844BF8" w:rsidRDefault="00F35D21" w:rsidP="00F35D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  ежемесячно проводится анализ производственного травматизма, в результате которого выделяются наиболее </w:t>
      </w:r>
      <w:proofErr w:type="spellStart"/>
      <w:r w:rsidRPr="00844BF8">
        <w:rPr>
          <w:rFonts w:ascii="Times New Roman" w:hAnsi="Times New Roman"/>
          <w:color w:val="000000" w:themeColor="text1"/>
          <w:sz w:val="28"/>
          <w:szCs w:val="28"/>
        </w:rPr>
        <w:t>травмоопасные</w:t>
      </w:r>
      <w:proofErr w:type="spellEnd"/>
      <w:r w:rsidRPr="00844BF8">
        <w:rPr>
          <w:rFonts w:ascii="Times New Roman" w:hAnsi="Times New Roman"/>
          <w:color w:val="000000" w:themeColor="text1"/>
          <w:sz w:val="28"/>
          <w:szCs w:val="28"/>
        </w:rPr>
        <w:t xml:space="preserve"> виды экономической деятельности. Особое внимание при расследовании несчастных случаев уделяется СУОТ на предприятии. Учтены ли риски, по которым произошел несчастный случай, приняты ли  меры по их снижению.</w:t>
      </w:r>
    </w:p>
    <w:p w:rsidR="00F35D21" w:rsidRPr="00844BF8" w:rsidRDefault="00F35D21" w:rsidP="00F35D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проводятся совещания с участием ГИТ, отраслевых министерств, работодателей, организованные Минтрудом Хакасии в рамках Координационных советов по охране труда, Трехсторонних комиссий.  </w:t>
      </w:r>
    </w:p>
    <w:p w:rsidR="00F35D21" w:rsidRPr="00844BF8" w:rsidRDefault="00F35D21" w:rsidP="00F3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/>
          <w:color w:val="000000" w:themeColor="text1"/>
          <w:sz w:val="28"/>
          <w:szCs w:val="28"/>
        </w:rPr>
        <w:t>Проводится информирование работодателей и работников о состоянии условий труда. Еженедельно по данной тематике готовятся и размещаются на официальном портале ГИТ в РХ, Правительства Хакасии, сайтах муниципальных образований, иных СМИ пресс-релизы. Проводятся совещания в основных отраслях промышленности республики (в 2018: в сфере энергетики, здравоохранения, пищевой промышленности; в 2019: в сфере жилищно-коммунального хозяйства).</w:t>
      </w:r>
    </w:p>
    <w:p w:rsidR="00F35D21" w:rsidRPr="00844BF8" w:rsidRDefault="00F35D21" w:rsidP="00F35D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 ГИТ в РХ за нарушения в сфере охраны труда в отношении юридических и должностных лиц вынесено   330 постановлений   (в том числе 127 предупреждений) (2018г. - 251, в т.ч.89 предупреждений)  о назначении административного наказания на сумму свыше 7 млн. рублей.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постановлений о нарушении административного наказания за нарушения в сфере охраны труда за 9 мес. 2019 года.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44B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294051" cy="2329732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BF8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по результатам проведенных расследований несчастных случаев на производстве в органы прокуратуры направлено 18 материалов для рассмотрения вопроса о привлечении к уголовной ответственности должностных лиц, виновных в допущенных нарушениях требований трудового законодательства в связи с несчастными случаями  на производстве.</w:t>
      </w:r>
    </w:p>
    <w:p w:rsidR="00F35D21" w:rsidRPr="00844BF8" w:rsidRDefault="00F35D21" w:rsidP="00F35D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FA5" w:rsidRPr="00844BF8" w:rsidRDefault="002C0FA5">
      <w:pPr>
        <w:rPr>
          <w:color w:val="000000" w:themeColor="text1"/>
        </w:rPr>
      </w:pPr>
    </w:p>
    <w:sectPr w:rsidR="002C0FA5" w:rsidRPr="00844BF8" w:rsidSect="002C0F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45" w:rsidRDefault="00BD5145" w:rsidP="00F35D21">
      <w:pPr>
        <w:spacing w:after="0" w:line="240" w:lineRule="auto"/>
      </w:pPr>
      <w:r>
        <w:separator/>
      </w:r>
    </w:p>
  </w:endnote>
  <w:endnote w:type="continuationSeparator" w:id="1">
    <w:p w:rsidR="00BD5145" w:rsidRDefault="00BD5145" w:rsidP="00F3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45" w:rsidRDefault="00BD5145" w:rsidP="00F35D21">
      <w:pPr>
        <w:spacing w:after="0" w:line="240" w:lineRule="auto"/>
      </w:pPr>
      <w:r>
        <w:separator/>
      </w:r>
    </w:p>
  </w:footnote>
  <w:footnote w:type="continuationSeparator" w:id="1">
    <w:p w:rsidR="00BD5145" w:rsidRDefault="00BD5145" w:rsidP="00F3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21" w:rsidRDefault="00F35D21" w:rsidP="00F016FA">
    <w:pPr>
      <w:pStyle w:val="ac"/>
      <w:jc w:val="center"/>
    </w:pPr>
  </w:p>
  <w:p w:rsidR="00F35D21" w:rsidRDefault="00F35D2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21"/>
    <w:rsid w:val="002C0FA5"/>
    <w:rsid w:val="00844BF8"/>
    <w:rsid w:val="0093676F"/>
    <w:rsid w:val="00A54509"/>
    <w:rsid w:val="00B779F4"/>
    <w:rsid w:val="00BD5145"/>
    <w:rsid w:val="00F016FA"/>
    <w:rsid w:val="00F3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35D21"/>
    <w:rPr>
      <w:rFonts w:ascii="Calibri" w:eastAsia="Calibri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qFormat/>
    <w:rsid w:val="00F35D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link w:val="a6"/>
    <w:uiPriority w:val="34"/>
    <w:qFormat/>
    <w:rsid w:val="00F35D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F35D21"/>
    <w:rPr>
      <w:rFonts w:ascii="Calibri" w:eastAsia="Calibri" w:hAnsi="Calibri" w:cs="Times New Roman"/>
    </w:rPr>
  </w:style>
  <w:style w:type="paragraph" w:styleId="a7">
    <w:name w:val="Normal (Web)"/>
    <w:basedOn w:val="a"/>
    <w:link w:val="a8"/>
    <w:uiPriority w:val="99"/>
    <w:rsid w:val="00F35D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rsid w:val="00F35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35D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5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35D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35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D2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3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D2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5D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постановления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162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60-4E03-A61B-3C8E21ED29C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</c:v>
                </c:pt>
                <c:pt idx="1">
                  <c:v>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60-4E03-A61B-3C8E21ED29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Предупреждений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60-4E03-A61B-3C8E21ED29C1}"/>
            </c:ext>
          </c:extLst>
        </c:ser>
        <c:dLbls/>
        <c:axId val="93017216"/>
        <c:axId val="93018752"/>
      </c:barChart>
      <c:catAx>
        <c:axId val="93017216"/>
        <c:scaling>
          <c:orientation val="minMax"/>
        </c:scaling>
        <c:axPos val="b"/>
        <c:numFmt formatCode="General" sourceLinked="1"/>
        <c:tickLblPos val="nextTo"/>
        <c:crossAx val="93018752"/>
        <c:crosses val="autoZero"/>
        <c:auto val="1"/>
        <c:lblAlgn val="ctr"/>
        <c:lblOffset val="100"/>
      </c:catAx>
      <c:valAx>
        <c:axId val="9301875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 sz="800" b="0"/>
                </a:pPr>
                <a:r>
                  <a:rPr lang="ru-RU" sz="800" b="0"/>
                  <a:t>Кол-во</a:t>
                </a:r>
                <a:r>
                  <a:rPr lang="ru-RU" sz="800" b="0" baseline="0"/>
                  <a:t> постановлений</a:t>
                </a:r>
                <a:endParaRPr lang="ru-RU" sz="800" b="0"/>
              </a:p>
            </c:rich>
          </c:tx>
          <c:layout/>
        </c:title>
        <c:numFmt formatCode="General" sourceLinked="1"/>
        <c:tickLblPos val="nextTo"/>
        <c:crossAx val="93017216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2019-10-15T07:24:00Z</cp:lastPrinted>
  <dcterms:created xsi:type="dcterms:W3CDTF">2019-10-15T06:00:00Z</dcterms:created>
  <dcterms:modified xsi:type="dcterms:W3CDTF">2019-10-15T07:27:00Z</dcterms:modified>
</cp:coreProperties>
</file>