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40" w:rsidRDefault="00207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3F0240" w:rsidRDefault="00207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3F0240" w:rsidRDefault="00207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020531" w:rsidRDefault="00020531">
      <w:pPr>
        <w:jc w:val="center"/>
        <w:rPr>
          <w:b/>
          <w:bCs/>
          <w:sz w:val="28"/>
          <w:szCs w:val="28"/>
        </w:rPr>
      </w:pPr>
    </w:p>
    <w:p w:rsidR="003F0240" w:rsidRDefault="00207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F0240" w:rsidRDefault="00207D9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ОРДЖОНИКИДЗЕВСКОГО СЕЛЬСОВЕТА</w:t>
      </w:r>
    </w:p>
    <w:p w:rsidR="003F0240" w:rsidRDefault="003F0240"/>
    <w:p w:rsidR="003F0240" w:rsidRDefault="00207D9F">
      <w:p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3F0240" w:rsidRDefault="003F0240"/>
    <w:p w:rsidR="003F0240" w:rsidRPr="00527FEE" w:rsidRDefault="00527FEE">
      <w:pPr>
        <w:rPr>
          <w:lang w:val="en-US"/>
        </w:rPr>
      </w:pPr>
      <w:r>
        <w:rPr>
          <w:lang w:val="en-US"/>
        </w:rPr>
        <w:t>15</w:t>
      </w:r>
      <w:r w:rsidR="00207D9F">
        <w:t xml:space="preserve"> марта </w:t>
      </w:r>
      <w:r>
        <w:t>202</w:t>
      </w:r>
      <w:r>
        <w:rPr>
          <w:lang w:val="en-US"/>
        </w:rPr>
        <w:t>4</w:t>
      </w:r>
      <w:r w:rsidR="00207D9F">
        <w:t xml:space="preserve"> года                                                                                                              № </w:t>
      </w:r>
      <w:r>
        <w:rPr>
          <w:lang w:val="en-US"/>
        </w:rPr>
        <w:t>33</w:t>
      </w:r>
    </w:p>
    <w:p w:rsidR="003F0240" w:rsidRDefault="003F0240">
      <w:pPr>
        <w:jc w:val="center"/>
      </w:pPr>
    </w:p>
    <w:p w:rsidR="003F0240" w:rsidRDefault="00207D9F">
      <w:pPr>
        <w:jc w:val="center"/>
        <w:rPr>
          <w:b/>
          <w:bCs/>
        </w:rPr>
      </w:pPr>
      <w:r>
        <w:rPr>
          <w:b/>
          <w:bCs/>
        </w:rPr>
        <w:t>О подготовке организаций, учреждений и жилого сектора к весенне-летнему пожароопасному периоду</w:t>
      </w:r>
    </w:p>
    <w:p w:rsidR="003F0240" w:rsidRDefault="003F0240"/>
    <w:p w:rsidR="003F0240" w:rsidRDefault="00207D9F" w:rsidP="00527FEE">
      <w:pPr>
        <w:ind w:firstLine="709"/>
        <w:jc w:val="both"/>
      </w:pPr>
      <w:proofErr w:type="gramStart"/>
      <w:r>
        <w:t>В соответствии с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характера», Лесным кодексом Российской Федерации от 4 декабря 2006г. № 200-ФЗ, Законом Российской Федерации от 21.12.1994г. № 69-ФЗ «О пожарной безопасности», Законом Республики Хакасия от 17.11.1998г. № 43 «О защите населения и территорий от чрезвычайных ситуаций природного и техногенного</w:t>
      </w:r>
      <w:proofErr w:type="gramEnd"/>
      <w:r>
        <w:t xml:space="preserve"> характера в Республике Хакасия», в целях предупреждения, обнаружения и ликвидации пожаров на территории Орджоникидзевского сельсовета, руководствуясь Уставом муниципального образования Орджоникидзевский сельсовет Орджоникидзевского района Республики Хакасия», Администрация Орджоникидзевского сельсовета ПОСТАНОВЛЯЕТ:</w:t>
      </w:r>
    </w:p>
    <w:p w:rsidR="003F0240" w:rsidRDefault="003F0240">
      <w:pPr>
        <w:jc w:val="both"/>
      </w:pPr>
    </w:p>
    <w:p w:rsidR="003F0240" w:rsidRDefault="00207D9F">
      <w:pPr>
        <w:numPr>
          <w:ilvl w:val="0"/>
          <w:numId w:val="1"/>
        </w:numPr>
        <w:jc w:val="both"/>
      </w:pPr>
      <w:r>
        <w:t xml:space="preserve">Рассмотреть на заседаниях комиссии по предупреждению и ликвидации чрезвычайных ситуаций и обеспечения пожарной безопасности вопросы о противопожарном состоянии </w:t>
      </w:r>
      <w:proofErr w:type="spellStart"/>
      <w:r>
        <w:t>населенного</w:t>
      </w:r>
      <w:proofErr w:type="spellEnd"/>
      <w:r>
        <w:t xml:space="preserve"> пункта и прилегающих к ним территорий и утвердить план мероприятий по подгото</w:t>
      </w:r>
      <w:r w:rsidR="00527FEE">
        <w:t>вке к пожароопасному сезону 202</w:t>
      </w:r>
      <w:r w:rsidR="00527FEE" w:rsidRPr="00527FEE">
        <w:t>4</w:t>
      </w:r>
      <w:r>
        <w:t>г. (приложение 1).</w:t>
      </w:r>
    </w:p>
    <w:p w:rsidR="003F0240" w:rsidRDefault="00207D9F">
      <w:pPr>
        <w:numPr>
          <w:ilvl w:val="0"/>
          <w:numId w:val="1"/>
        </w:numPr>
        <w:jc w:val="both"/>
      </w:pPr>
      <w:r>
        <w:t>Руководителям предприятий и учреждений до 15 мая</w:t>
      </w:r>
      <w:r w:rsidR="00527FEE">
        <w:t xml:space="preserve"> 202</w:t>
      </w:r>
      <w:r w:rsidR="00527FEE" w:rsidRPr="00527FEE">
        <w:t>4</w:t>
      </w:r>
      <w:r>
        <w:t xml:space="preserve">г. провести работы по очистке </w:t>
      </w:r>
      <w:proofErr w:type="spellStart"/>
      <w:r>
        <w:t>закрепленной</w:t>
      </w:r>
      <w:proofErr w:type="spellEnd"/>
      <w:r>
        <w:t xml:space="preserve"> территории от мусора и сухой травы.</w:t>
      </w:r>
    </w:p>
    <w:p w:rsidR="003F0240" w:rsidRDefault="00207D9F">
      <w:pPr>
        <w:numPr>
          <w:ilvl w:val="0"/>
          <w:numId w:val="1"/>
        </w:numPr>
        <w:jc w:val="both"/>
      </w:pPr>
      <w:r>
        <w:t xml:space="preserve">Запретить в </w:t>
      </w:r>
      <w:proofErr w:type="spellStart"/>
      <w:r>
        <w:t>населенном</w:t>
      </w:r>
      <w:proofErr w:type="spellEnd"/>
      <w:r>
        <w:t xml:space="preserve"> пункте разведе</w:t>
      </w:r>
      <w:r w:rsidR="00527FEE">
        <w:t>ние костров, пал травы, сжигание</w:t>
      </w:r>
      <w:r>
        <w:t xml:space="preserve"> мусора.</w:t>
      </w:r>
    </w:p>
    <w:p w:rsidR="003F0240" w:rsidRDefault="00207D9F">
      <w:pPr>
        <w:numPr>
          <w:ilvl w:val="0"/>
          <w:numId w:val="1"/>
        </w:numPr>
        <w:jc w:val="both"/>
      </w:pPr>
      <w:r>
        <w:t>Гражданам до 15 мая</w:t>
      </w:r>
      <w:r w:rsidR="00527FEE">
        <w:t xml:space="preserve"> 2024</w:t>
      </w:r>
      <w:r>
        <w:t>г. очистить дворы и прилегающие к ним территории от мусора и сухой травы.</w:t>
      </w:r>
    </w:p>
    <w:p w:rsidR="003F0240" w:rsidRDefault="00207D9F">
      <w:pPr>
        <w:numPr>
          <w:ilvl w:val="0"/>
          <w:numId w:val="1"/>
        </w:numPr>
        <w:jc w:val="both"/>
      </w:pPr>
      <w:r>
        <w:t>Провести разъяснительную работу с населением по подготовке объектов и жилого сектора к весенне-летнему пожароопасному периоду на сходах граждан.</w:t>
      </w:r>
    </w:p>
    <w:p w:rsidR="003F0240" w:rsidRDefault="00207D9F" w:rsidP="00020531">
      <w:pPr>
        <w:numPr>
          <w:ilvl w:val="0"/>
          <w:numId w:val="1"/>
        </w:numPr>
        <w:jc w:val="both"/>
      </w:pPr>
      <w:r>
        <w:t xml:space="preserve">Постановление от </w:t>
      </w:r>
      <w:r w:rsidR="00527FEE">
        <w:t>06.03.2023</w:t>
      </w:r>
      <w:r>
        <w:t xml:space="preserve">г. № </w:t>
      </w:r>
      <w:r w:rsidR="00527FEE">
        <w:t>18</w:t>
      </w:r>
      <w:r>
        <w:t xml:space="preserve"> «</w:t>
      </w:r>
      <w:r w:rsidR="00020531" w:rsidRPr="00020531">
        <w:t>О подготовке организаций, учреждений и жилого сектора к весенне-летнему пожароопасному периоду</w:t>
      </w:r>
      <w:r>
        <w:t>» считать утратившим силу.</w:t>
      </w:r>
    </w:p>
    <w:p w:rsidR="003F0240" w:rsidRDefault="00527FEE">
      <w:pPr>
        <w:numPr>
          <w:ilvl w:val="0"/>
          <w:numId w:val="1"/>
        </w:numPr>
        <w:jc w:val="both"/>
      </w:pPr>
      <w:r>
        <w:t>Настоящее</w:t>
      </w:r>
      <w:r w:rsidR="00020531">
        <w:t xml:space="preserve"> </w:t>
      </w:r>
      <w:r w:rsidR="00207D9F">
        <w:t>постановление вступает в силу после е</w:t>
      </w:r>
      <w:r>
        <w:t>го официального опубликования</w:t>
      </w:r>
      <w:r w:rsidR="00207D9F">
        <w:t>.</w:t>
      </w:r>
    </w:p>
    <w:p w:rsidR="003F0240" w:rsidRDefault="00207D9F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F0240" w:rsidRDefault="003F0240">
      <w:pPr>
        <w:jc w:val="both"/>
      </w:pPr>
    </w:p>
    <w:p w:rsidR="003F0240" w:rsidRDefault="003F0240">
      <w:pPr>
        <w:jc w:val="both"/>
      </w:pPr>
    </w:p>
    <w:p w:rsidR="003F0240" w:rsidRDefault="00207D9F">
      <w:pPr>
        <w:jc w:val="both"/>
      </w:pPr>
      <w:r>
        <w:t xml:space="preserve">Глава Орджоникидзевского сельсовета                                                                 </w:t>
      </w:r>
      <w:proofErr w:type="spellStart"/>
      <w:r>
        <w:t>А.М.Бетехтин</w:t>
      </w:r>
      <w:proofErr w:type="spellEnd"/>
    </w:p>
    <w:p w:rsidR="003F0240" w:rsidRDefault="003F0240">
      <w:pPr>
        <w:jc w:val="both"/>
      </w:pPr>
    </w:p>
    <w:p w:rsidR="003F0240" w:rsidRDefault="003F0240">
      <w:pPr>
        <w:jc w:val="both"/>
      </w:pPr>
    </w:p>
    <w:p w:rsidR="003F0240" w:rsidRDefault="003F0240">
      <w:pPr>
        <w:jc w:val="both"/>
      </w:pPr>
    </w:p>
    <w:p w:rsidR="003F0240" w:rsidRDefault="003F0240">
      <w:pPr>
        <w:jc w:val="both"/>
      </w:pPr>
    </w:p>
    <w:p w:rsidR="003F0240" w:rsidRDefault="003F0240">
      <w:pPr>
        <w:jc w:val="both"/>
      </w:pPr>
    </w:p>
    <w:p w:rsidR="00527FEE" w:rsidRDefault="00527FEE">
      <w:pPr>
        <w:jc w:val="both"/>
      </w:pPr>
    </w:p>
    <w:p w:rsidR="003F0240" w:rsidRDefault="00207D9F">
      <w:pPr>
        <w:jc w:val="right"/>
      </w:pPr>
      <w:r>
        <w:lastRenderedPageBreak/>
        <w:t>Приложение 1</w:t>
      </w:r>
    </w:p>
    <w:p w:rsidR="003F0240" w:rsidRDefault="00207D9F">
      <w:pPr>
        <w:wordWrap w:val="0"/>
        <w:jc w:val="right"/>
      </w:pPr>
      <w:r>
        <w:t xml:space="preserve">к постановлению </w:t>
      </w:r>
    </w:p>
    <w:p w:rsidR="003F0240" w:rsidRDefault="00207D9F">
      <w:pPr>
        <w:wordWrap w:val="0"/>
        <w:jc w:val="right"/>
      </w:pPr>
      <w:r>
        <w:t>Администрации Орджоникидзевского сельсовета</w:t>
      </w:r>
    </w:p>
    <w:p w:rsidR="003F0240" w:rsidRDefault="00527FEE">
      <w:pPr>
        <w:wordWrap w:val="0"/>
        <w:jc w:val="right"/>
      </w:pPr>
      <w:r>
        <w:t>от 15.03.2024г. № 33</w:t>
      </w:r>
    </w:p>
    <w:p w:rsidR="003F0240" w:rsidRDefault="003F0240">
      <w:pPr>
        <w:jc w:val="both"/>
      </w:pPr>
    </w:p>
    <w:p w:rsidR="003F0240" w:rsidRDefault="003F0240">
      <w:pPr>
        <w:jc w:val="both"/>
      </w:pPr>
    </w:p>
    <w:p w:rsidR="003F0240" w:rsidRDefault="003F0240">
      <w:pPr>
        <w:jc w:val="center"/>
      </w:pPr>
    </w:p>
    <w:p w:rsidR="003F0240" w:rsidRDefault="00207D9F">
      <w:pPr>
        <w:jc w:val="center"/>
        <w:rPr>
          <w:b/>
          <w:bCs/>
        </w:rPr>
      </w:pPr>
      <w:r>
        <w:rPr>
          <w:b/>
          <w:bCs/>
        </w:rPr>
        <w:t>План мероприятий</w:t>
      </w:r>
    </w:p>
    <w:p w:rsidR="003F0240" w:rsidRDefault="00207D9F">
      <w:pPr>
        <w:jc w:val="center"/>
        <w:rPr>
          <w:b/>
          <w:bCs/>
        </w:rPr>
      </w:pPr>
      <w:r>
        <w:rPr>
          <w:b/>
          <w:bCs/>
        </w:rPr>
        <w:t>по подготовке к пожароопасному сезону 202</w:t>
      </w:r>
      <w:r w:rsidR="00527FEE">
        <w:rPr>
          <w:b/>
          <w:bCs/>
        </w:rPr>
        <w:t>4</w:t>
      </w:r>
      <w:r>
        <w:rPr>
          <w:b/>
          <w:bCs/>
        </w:rPr>
        <w:t xml:space="preserve"> года</w:t>
      </w:r>
    </w:p>
    <w:p w:rsidR="003F0240" w:rsidRDefault="003F02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242"/>
        <w:gridCol w:w="2448"/>
        <w:gridCol w:w="2338"/>
      </w:tblGrid>
      <w:tr w:rsidR="003F0240">
        <w:tc>
          <w:tcPr>
            <w:tcW w:w="543" w:type="dxa"/>
            <w:shd w:val="clear" w:color="auto" w:fill="auto"/>
          </w:tcPr>
          <w:p w:rsidR="003F0240" w:rsidRDefault="00207D9F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242" w:type="dxa"/>
            <w:shd w:val="clear" w:color="auto" w:fill="auto"/>
          </w:tcPr>
          <w:p w:rsidR="003F0240" w:rsidRDefault="00207D9F">
            <w:r>
              <w:t>Наименование мероприятий</w:t>
            </w:r>
          </w:p>
        </w:tc>
        <w:tc>
          <w:tcPr>
            <w:tcW w:w="2448" w:type="dxa"/>
            <w:shd w:val="clear" w:color="auto" w:fill="auto"/>
          </w:tcPr>
          <w:p w:rsidR="003F0240" w:rsidRDefault="00207D9F">
            <w:r>
              <w:t>Исполнители</w:t>
            </w:r>
          </w:p>
        </w:tc>
        <w:tc>
          <w:tcPr>
            <w:tcW w:w="2338" w:type="dxa"/>
            <w:shd w:val="clear" w:color="auto" w:fill="auto"/>
          </w:tcPr>
          <w:p w:rsidR="003F0240" w:rsidRDefault="00207D9F">
            <w:r>
              <w:t>Срок исполнения</w:t>
            </w:r>
          </w:p>
        </w:tc>
      </w:tr>
      <w:tr w:rsidR="003F0240">
        <w:tc>
          <w:tcPr>
            <w:tcW w:w="543" w:type="dxa"/>
            <w:shd w:val="clear" w:color="auto" w:fill="auto"/>
          </w:tcPr>
          <w:p w:rsidR="003F0240" w:rsidRDefault="00207D9F">
            <w:r>
              <w:t>1</w:t>
            </w:r>
          </w:p>
        </w:tc>
        <w:tc>
          <w:tcPr>
            <w:tcW w:w="4242" w:type="dxa"/>
            <w:shd w:val="clear" w:color="auto" w:fill="auto"/>
          </w:tcPr>
          <w:p w:rsidR="003F0240" w:rsidRDefault="00207D9F">
            <w:r>
              <w:t xml:space="preserve">Провести сходы граждан по пожарной безопасности. Определить </w:t>
            </w:r>
            <w:r>
              <w:rPr>
                <w:rStyle w:val="212pt"/>
              </w:rPr>
              <w:t xml:space="preserve">мероприятия, направленные на выполнение требований правил пожарной безопасности. </w:t>
            </w:r>
          </w:p>
        </w:tc>
        <w:tc>
          <w:tcPr>
            <w:tcW w:w="2448" w:type="dxa"/>
            <w:shd w:val="clear" w:color="auto" w:fill="auto"/>
          </w:tcPr>
          <w:p w:rsidR="003F0240" w:rsidRDefault="00207D9F">
            <w:pPr>
              <w:jc w:val="center"/>
            </w:pPr>
            <w:r>
              <w:t>Администрация</w:t>
            </w:r>
          </w:p>
          <w:p w:rsidR="003F0240" w:rsidRDefault="00207D9F">
            <w:pPr>
              <w:jc w:val="center"/>
            </w:pPr>
            <w:r>
              <w:t>Орджоникидзевского сельсовета</w:t>
            </w:r>
          </w:p>
          <w:p w:rsidR="003F0240" w:rsidRDefault="003F0240"/>
        </w:tc>
        <w:tc>
          <w:tcPr>
            <w:tcW w:w="2338" w:type="dxa"/>
            <w:shd w:val="clear" w:color="auto" w:fill="auto"/>
          </w:tcPr>
          <w:p w:rsidR="003F0240" w:rsidRDefault="00207D9F">
            <w:pPr>
              <w:jc w:val="center"/>
            </w:pPr>
            <w:r>
              <w:t>Апрель - май</w:t>
            </w:r>
            <w:r w:rsidR="00527FEE">
              <w:t xml:space="preserve"> 2024</w:t>
            </w:r>
            <w:r>
              <w:t>г.</w:t>
            </w:r>
          </w:p>
        </w:tc>
      </w:tr>
      <w:tr w:rsidR="003F0240">
        <w:tc>
          <w:tcPr>
            <w:tcW w:w="543" w:type="dxa"/>
            <w:shd w:val="clear" w:color="auto" w:fill="auto"/>
          </w:tcPr>
          <w:p w:rsidR="003F0240" w:rsidRDefault="00207D9F">
            <w:r>
              <w:t>2</w:t>
            </w:r>
          </w:p>
        </w:tc>
        <w:tc>
          <w:tcPr>
            <w:tcW w:w="4242" w:type="dxa"/>
            <w:shd w:val="clear" w:color="auto" w:fill="auto"/>
          </w:tcPr>
          <w:p w:rsidR="003F0240" w:rsidRDefault="00207D9F">
            <w:r>
              <w:t>Уточнить планы, определить и привести в готовность силы и средства, привлекаемые к выполнению противопожарных мероприятий.</w:t>
            </w:r>
          </w:p>
        </w:tc>
        <w:tc>
          <w:tcPr>
            <w:tcW w:w="2448" w:type="dxa"/>
            <w:shd w:val="clear" w:color="auto" w:fill="auto"/>
          </w:tcPr>
          <w:p w:rsidR="003F0240" w:rsidRDefault="00207D9F">
            <w:pPr>
              <w:jc w:val="center"/>
            </w:pPr>
            <w:r>
              <w:t>Администрация</w:t>
            </w:r>
          </w:p>
          <w:p w:rsidR="003F0240" w:rsidRDefault="00207D9F">
            <w:pPr>
              <w:jc w:val="center"/>
            </w:pPr>
            <w:r>
              <w:t>Орджоникидзевского сельсовета</w:t>
            </w:r>
          </w:p>
          <w:p w:rsidR="003F0240" w:rsidRDefault="003F0240"/>
        </w:tc>
        <w:tc>
          <w:tcPr>
            <w:tcW w:w="2338" w:type="dxa"/>
            <w:shd w:val="clear" w:color="auto" w:fill="auto"/>
          </w:tcPr>
          <w:p w:rsidR="003F0240" w:rsidRDefault="00527FEE">
            <w:pPr>
              <w:jc w:val="center"/>
            </w:pPr>
            <w:r>
              <w:t>До 10 апреля 2024</w:t>
            </w:r>
            <w:r w:rsidR="00207D9F">
              <w:t>г.</w:t>
            </w:r>
          </w:p>
        </w:tc>
      </w:tr>
      <w:tr w:rsidR="003F0240">
        <w:tc>
          <w:tcPr>
            <w:tcW w:w="543" w:type="dxa"/>
            <w:shd w:val="clear" w:color="auto" w:fill="auto"/>
          </w:tcPr>
          <w:p w:rsidR="003F0240" w:rsidRDefault="00207D9F">
            <w:r>
              <w:t>3</w:t>
            </w:r>
          </w:p>
        </w:tc>
        <w:tc>
          <w:tcPr>
            <w:tcW w:w="4242" w:type="dxa"/>
            <w:shd w:val="clear" w:color="auto" w:fill="auto"/>
          </w:tcPr>
          <w:p w:rsidR="003F0240" w:rsidRDefault="00207D9F">
            <w:r>
              <w:t xml:space="preserve">Привести и содержать в исправном состоянии источники противопожарного водоснабжения </w:t>
            </w:r>
          </w:p>
          <w:p w:rsidR="003F0240" w:rsidRDefault="00020531">
            <w:r>
              <w:t>(</w:t>
            </w:r>
            <w:r w:rsidR="00207D9F">
              <w:t xml:space="preserve">подъезды к естественным </w:t>
            </w:r>
            <w:proofErr w:type="spellStart"/>
            <w:r w:rsidR="00207D9F">
              <w:t>водоемам</w:t>
            </w:r>
            <w:proofErr w:type="spellEnd"/>
            <w:r w:rsidR="00207D9F">
              <w:t>)</w:t>
            </w:r>
          </w:p>
        </w:tc>
        <w:tc>
          <w:tcPr>
            <w:tcW w:w="2448" w:type="dxa"/>
            <w:shd w:val="clear" w:color="auto" w:fill="auto"/>
          </w:tcPr>
          <w:p w:rsidR="003F0240" w:rsidRDefault="00207D9F">
            <w:pPr>
              <w:jc w:val="center"/>
            </w:pPr>
            <w:r>
              <w:t>Администрация Орджоникидзевского сельсовета</w:t>
            </w:r>
          </w:p>
          <w:p w:rsidR="003F0240" w:rsidRDefault="00207D9F">
            <w: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3F0240" w:rsidRDefault="00207D9F">
            <w:pPr>
              <w:jc w:val="center"/>
            </w:pPr>
            <w:r>
              <w:t>Постоянно</w:t>
            </w:r>
          </w:p>
        </w:tc>
      </w:tr>
      <w:tr w:rsidR="003F0240">
        <w:trPr>
          <w:trHeight w:val="1092"/>
        </w:trPr>
        <w:tc>
          <w:tcPr>
            <w:tcW w:w="543" w:type="dxa"/>
            <w:shd w:val="clear" w:color="auto" w:fill="auto"/>
          </w:tcPr>
          <w:p w:rsidR="003F0240" w:rsidRDefault="00207D9F">
            <w:r>
              <w:t>4</w:t>
            </w:r>
          </w:p>
        </w:tc>
        <w:tc>
          <w:tcPr>
            <w:tcW w:w="4242" w:type="dxa"/>
            <w:shd w:val="clear" w:color="auto" w:fill="auto"/>
          </w:tcPr>
          <w:p w:rsidR="003F0240" w:rsidRDefault="00207D9F">
            <w:r>
              <w:t>Организовать проведение противопожарной пропаганды по выполнению правил пожарной безопасности на собраниях, сходах граждан</w:t>
            </w:r>
          </w:p>
        </w:tc>
        <w:tc>
          <w:tcPr>
            <w:tcW w:w="2448" w:type="dxa"/>
            <w:shd w:val="clear" w:color="auto" w:fill="auto"/>
          </w:tcPr>
          <w:p w:rsidR="003F0240" w:rsidRDefault="00207D9F">
            <w:pPr>
              <w:jc w:val="center"/>
            </w:pPr>
            <w:r>
              <w:t>Администрация Орджоникидзевского сельсовета</w:t>
            </w:r>
          </w:p>
          <w:p w:rsidR="003F0240" w:rsidRDefault="00207D9F">
            <w:pPr>
              <w:jc w:val="center"/>
            </w:pPr>
            <w:r>
              <w:t>Руководители учреждений</w:t>
            </w:r>
          </w:p>
        </w:tc>
        <w:tc>
          <w:tcPr>
            <w:tcW w:w="2338" w:type="dxa"/>
            <w:shd w:val="clear" w:color="auto" w:fill="auto"/>
          </w:tcPr>
          <w:p w:rsidR="003F0240" w:rsidRDefault="00207D9F">
            <w:pPr>
              <w:jc w:val="center"/>
            </w:pPr>
            <w:r>
              <w:t>В течение всего периода</w:t>
            </w:r>
          </w:p>
        </w:tc>
      </w:tr>
      <w:tr w:rsidR="003F0240">
        <w:tc>
          <w:tcPr>
            <w:tcW w:w="543" w:type="dxa"/>
            <w:shd w:val="clear" w:color="auto" w:fill="auto"/>
          </w:tcPr>
          <w:p w:rsidR="003F0240" w:rsidRDefault="00207D9F">
            <w:r>
              <w:t>5.</w:t>
            </w:r>
          </w:p>
        </w:tc>
        <w:tc>
          <w:tcPr>
            <w:tcW w:w="4242" w:type="dxa"/>
            <w:shd w:val="clear" w:color="auto" w:fill="auto"/>
          </w:tcPr>
          <w:p w:rsidR="003F0240" w:rsidRDefault="00207D9F">
            <w:r>
              <w:t xml:space="preserve">Создать минерализованные полосы вокруг </w:t>
            </w:r>
            <w:proofErr w:type="spellStart"/>
            <w:r>
              <w:t>населенного</w:t>
            </w:r>
            <w:proofErr w:type="spellEnd"/>
            <w:r>
              <w:t xml:space="preserve"> пункта</w:t>
            </w:r>
          </w:p>
        </w:tc>
        <w:tc>
          <w:tcPr>
            <w:tcW w:w="2448" w:type="dxa"/>
            <w:shd w:val="clear" w:color="auto" w:fill="auto"/>
          </w:tcPr>
          <w:p w:rsidR="003F0240" w:rsidRDefault="00207D9F">
            <w:pPr>
              <w:jc w:val="center"/>
            </w:pPr>
            <w:r>
              <w:t>Администрация Орджоникидзевского сельсовета</w:t>
            </w:r>
          </w:p>
          <w:p w:rsidR="003F0240" w:rsidRDefault="00207D9F">
            <w: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3F0240" w:rsidRDefault="00207D9F">
            <w:pPr>
              <w:jc w:val="center"/>
            </w:pPr>
            <w:r>
              <w:t>май</w:t>
            </w:r>
            <w:r w:rsidR="00527FEE">
              <w:t>-июнь</w:t>
            </w:r>
            <w:bookmarkStart w:id="0" w:name="_GoBack"/>
            <w:bookmarkEnd w:id="0"/>
            <w:r w:rsidR="00527FEE">
              <w:t xml:space="preserve"> 2024</w:t>
            </w:r>
            <w:r>
              <w:t>г.</w:t>
            </w:r>
          </w:p>
          <w:p w:rsidR="00527FEE" w:rsidRDefault="00527FEE">
            <w:pPr>
              <w:jc w:val="center"/>
            </w:pPr>
            <w:r>
              <w:t>(после схода снежного покрова)</w:t>
            </w:r>
          </w:p>
        </w:tc>
      </w:tr>
    </w:tbl>
    <w:p w:rsidR="003F0240" w:rsidRDefault="003F0240"/>
    <w:p w:rsidR="003F0240" w:rsidRDefault="003F0240"/>
    <w:p w:rsidR="003F0240" w:rsidRDefault="003F0240"/>
    <w:p w:rsidR="003F0240" w:rsidRDefault="003F0240"/>
    <w:p w:rsidR="003F0240" w:rsidRDefault="003F0240"/>
    <w:p w:rsidR="003F0240" w:rsidRDefault="003F0240"/>
    <w:p w:rsidR="003F0240" w:rsidRDefault="003F0240"/>
    <w:p w:rsidR="003F0240" w:rsidRDefault="003F0240"/>
    <w:p w:rsidR="003F0240" w:rsidRDefault="003F0240"/>
    <w:sectPr w:rsidR="003F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E2" w:rsidRDefault="003028E2">
      <w:r>
        <w:separator/>
      </w:r>
    </w:p>
  </w:endnote>
  <w:endnote w:type="continuationSeparator" w:id="0">
    <w:p w:rsidR="003028E2" w:rsidRDefault="0030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E2" w:rsidRDefault="003028E2">
      <w:r>
        <w:separator/>
      </w:r>
    </w:p>
  </w:footnote>
  <w:footnote w:type="continuationSeparator" w:id="0">
    <w:p w:rsidR="003028E2" w:rsidRDefault="0030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B0CF1"/>
    <w:multiLevelType w:val="singleLevel"/>
    <w:tmpl w:val="781B0CF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40"/>
    <w:rsid w:val="00020531"/>
    <w:rsid w:val="00207D9F"/>
    <w:rsid w:val="003028E2"/>
    <w:rsid w:val="003F0240"/>
    <w:rsid w:val="00527FEE"/>
    <w:rsid w:val="2D7574EB"/>
    <w:rsid w:val="6B9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/>
    <w:lsdException w:name="toc 9" w:semiHidden="0" w:uiPriority="39" w:qFormat="1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table of figures" w:semiHidden="0" w:qFormat="1"/>
    <w:lsdException w:name="footnote reference" w:semiHidden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qFormat/>
    <w:rPr>
      <w:sz w:val="20"/>
    </w:rPr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0">
    <w:name w:val="Title"/>
    <w:basedOn w:val="a"/>
    <w:next w:val="a"/>
    <w:link w:val="af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footer"/>
    <w:basedOn w:val="a"/>
    <w:link w:val="af3"/>
    <w:uiPriority w:val="99"/>
    <w:unhideWhenUsed/>
    <w:qFormat/>
    <w:pPr>
      <w:tabs>
        <w:tab w:val="center" w:pos="7143"/>
        <w:tab w:val="right" w:pos="14287"/>
      </w:tabs>
    </w:pPr>
  </w:style>
  <w:style w:type="paragraph" w:styleId="af4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uiPriority w:val="1"/>
    <w:qFormat/>
    <w:rPr>
      <w:sz w:val="22"/>
      <w:szCs w:val="22"/>
      <w:lang w:eastAsia="en-US"/>
    </w:rPr>
  </w:style>
  <w:style w:type="character" w:customStyle="1" w:styleId="af1">
    <w:name w:val="Название Знак"/>
    <w:basedOn w:val="a0"/>
    <w:link w:val="af0"/>
    <w:uiPriority w:val="10"/>
    <w:qFormat/>
    <w:rPr>
      <w:sz w:val="48"/>
      <w:szCs w:val="48"/>
    </w:rPr>
  </w:style>
  <w:style w:type="character" w:customStyle="1" w:styleId="af6">
    <w:name w:val="Подзаголовок Знак"/>
    <w:basedOn w:val="a0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ae">
    <w:name w:val="Верхний колонтитул Знак"/>
    <w:basedOn w:val="a0"/>
    <w:link w:val="ad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3">
    <w:name w:val="Нижний колонтитул Знак"/>
    <w:link w:val="af2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qFormat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qFormat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qFormat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qFormat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qFormat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qFormat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c">
    <w:name w:val="Текст сноски Знак"/>
    <w:link w:val="ab"/>
    <w:uiPriority w:val="99"/>
    <w:qFormat/>
    <w:rPr>
      <w:sz w:val="18"/>
    </w:rPr>
  </w:style>
  <w:style w:type="character" w:customStyle="1" w:styleId="a9">
    <w:name w:val="Текст концевой сноски Знак"/>
    <w:link w:val="a8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  <w:pPr>
      <w:spacing w:after="200" w:line="276" w:lineRule="auto"/>
    </w:pPr>
    <w:rPr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Основной текст (2)"/>
    <w:link w:val="25"/>
    <w:uiPriority w:val="99"/>
    <w:qFormat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5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5">
    <w:name w:val="Основной текст (2)_"/>
    <w:basedOn w:val="a0"/>
    <w:link w:val="24"/>
    <w:uiPriority w:val="99"/>
    <w:qFormat/>
    <w:locked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/>
    <w:lsdException w:name="toc 9" w:semiHidden="0" w:uiPriority="39" w:qFormat="1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table of figures" w:semiHidden="0" w:qFormat="1"/>
    <w:lsdException w:name="footnote reference" w:semiHidden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qFormat/>
    <w:rPr>
      <w:sz w:val="20"/>
    </w:rPr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0">
    <w:name w:val="Title"/>
    <w:basedOn w:val="a"/>
    <w:next w:val="a"/>
    <w:link w:val="af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footer"/>
    <w:basedOn w:val="a"/>
    <w:link w:val="af3"/>
    <w:uiPriority w:val="99"/>
    <w:unhideWhenUsed/>
    <w:qFormat/>
    <w:pPr>
      <w:tabs>
        <w:tab w:val="center" w:pos="7143"/>
        <w:tab w:val="right" w:pos="14287"/>
      </w:tabs>
    </w:pPr>
  </w:style>
  <w:style w:type="paragraph" w:styleId="af4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uiPriority w:val="1"/>
    <w:qFormat/>
    <w:rPr>
      <w:sz w:val="22"/>
      <w:szCs w:val="22"/>
      <w:lang w:eastAsia="en-US"/>
    </w:rPr>
  </w:style>
  <w:style w:type="character" w:customStyle="1" w:styleId="af1">
    <w:name w:val="Название Знак"/>
    <w:basedOn w:val="a0"/>
    <w:link w:val="af0"/>
    <w:uiPriority w:val="10"/>
    <w:qFormat/>
    <w:rPr>
      <w:sz w:val="48"/>
      <w:szCs w:val="48"/>
    </w:rPr>
  </w:style>
  <w:style w:type="character" w:customStyle="1" w:styleId="af6">
    <w:name w:val="Подзаголовок Знак"/>
    <w:basedOn w:val="a0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ae">
    <w:name w:val="Верхний колонтитул Знак"/>
    <w:basedOn w:val="a0"/>
    <w:link w:val="ad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3">
    <w:name w:val="Нижний колонтитул Знак"/>
    <w:link w:val="af2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qFormat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qFormat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qFormat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qFormat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qFormat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qFormat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c">
    <w:name w:val="Текст сноски Знак"/>
    <w:link w:val="ab"/>
    <w:uiPriority w:val="99"/>
    <w:qFormat/>
    <w:rPr>
      <w:sz w:val="18"/>
    </w:rPr>
  </w:style>
  <w:style w:type="character" w:customStyle="1" w:styleId="a9">
    <w:name w:val="Текст концевой сноски Знак"/>
    <w:link w:val="a8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  <w:pPr>
      <w:spacing w:after="200" w:line="276" w:lineRule="auto"/>
    </w:pPr>
    <w:rPr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Основной текст (2)"/>
    <w:link w:val="25"/>
    <w:uiPriority w:val="99"/>
    <w:qFormat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5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5">
    <w:name w:val="Основной текст (2)_"/>
    <w:basedOn w:val="a0"/>
    <w:link w:val="24"/>
    <w:uiPriority w:val="99"/>
    <w:qFormat/>
    <w:locked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17</cp:revision>
  <cp:lastPrinted>2024-03-19T02:44:00Z</cp:lastPrinted>
  <dcterms:created xsi:type="dcterms:W3CDTF">2020-01-15T03:07:00Z</dcterms:created>
  <dcterms:modified xsi:type="dcterms:W3CDTF">2024-03-19T02:45:00Z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3A82BA741E0E43A2976364D4F0F72128</vt:lpwstr>
  </property>
</Properties>
</file>