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F3" w:rsidRDefault="00D262F3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4155F4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4155F4" w:rsidRPr="004155F4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C4D55" w:rsidRDefault="002C4D55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D55" w:rsidRPr="002C4D55" w:rsidRDefault="002C4D55" w:rsidP="002C4D55">
      <w:pPr>
        <w:pStyle w:val="a5"/>
        <w:spacing w:before="0" w:beforeAutospacing="0" w:after="0" w:afterAutospacing="0"/>
        <w:ind w:firstLine="709"/>
        <w:jc w:val="both"/>
      </w:pPr>
      <w:r w:rsidRPr="002C4D55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2C4D55">
        <w:rPr>
          <w:iCs/>
          <w:color w:val="000000"/>
          <w:sz w:val="28"/>
          <w:szCs w:val="28"/>
        </w:rPr>
        <w:t>муниципального земельного контроля</w:t>
      </w:r>
      <w:r w:rsidRPr="002C4D55">
        <w:rPr>
          <w:color w:val="000000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контроля.</w:t>
      </w:r>
    </w:p>
    <w:p w:rsidR="00D262F3" w:rsidRDefault="00D262F3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3266E8" w:rsidRDefault="0096476B" w:rsidP="008B2DDA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72F"/>
          <w:sz w:val="28"/>
          <w:szCs w:val="28"/>
        </w:rPr>
      </w:pPr>
      <w:r w:rsidRPr="0096476B">
        <w:rPr>
          <w:b/>
          <w:color w:val="22272F"/>
          <w:sz w:val="28"/>
          <w:szCs w:val="28"/>
        </w:rPr>
        <w:t>Раздел I</w:t>
      </w:r>
      <w:r w:rsidR="00754688" w:rsidRPr="00754688">
        <w:rPr>
          <w:b/>
          <w:color w:val="22272F"/>
          <w:sz w:val="28"/>
          <w:szCs w:val="28"/>
        </w:rPr>
        <w:t>. А</w:t>
      </w:r>
      <w:r w:rsidR="003266E8" w:rsidRPr="00754688">
        <w:rPr>
          <w:b/>
          <w:color w:val="22272F"/>
          <w:sz w:val="28"/>
          <w:szCs w:val="28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8B2DDA">
        <w:rPr>
          <w:b/>
          <w:color w:val="22272F"/>
          <w:sz w:val="28"/>
          <w:szCs w:val="28"/>
        </w:rPr>
        <w:t>.</w:t>
      </w:r>
    </w:p>
    <w:p w:rsidR="008B2DDA" w:rsidRDefault="008B2DDA" w:rsidP="007553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4155F4" w:rsidRDefault="004155F4" w:rsidP="001B6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36EE6" w:rsidRPr="00036EE6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A4D" w:rsidRPr="004F2601" w:rsidRDefault="003F3A4D" w:rsidP="003F3A4D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В течение 202</w:t>
      </w:r>
      <w:r w:rsidRPr="003F3A4D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1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года осуществлялся мониторинг правовых актов, содержащих обязательные требования, соблюдение которых оценивается при проведении мероприятий в рамках осуществления муниципального земельного контроля, с целью дополнения существующего перечня нормативно-правовых актов.</w:t>
      </w:r>
    </w:p>
    <w:p w:rsidR="003F3A4D" w:rsidRPr="004F2601" w:rsidRDefault="003F3A4D" w:rsidP="003F3A4D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На постоянной основе организованно проведение консультаций в телефонном режиме, а также посредством личного приема по вопросам соблюдения требований земельного законодательства.</w:t>
      </w:r>
    </w:p>
    <w:p w:rsidR="003F3A4D" w:rsidRPr="004F2601" w:rsidRDefault="003F3A4D" w:rsidP="003F3A4D">
      <w:pPr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3F3A4D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В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рамках профилактических мероприятий за отчетный период органом муниципального земельного контроля было составлено </w:t>
      </w:r>
      <w:r w:rsidRPr="003F3A4D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25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актов обследования</w:t>
      </w:r>
      <w:r w:rsidRPr="003F3A4D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объектов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земельных </w:t>
      </w:r>
      <w:r w:rsidRPr="003F3A4D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отношений.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Рисками, возникающими в результате нарушения охраняемых законом ценностей при осуществлении органом муниципального земельного контроля</w:t>
      </w:r>
      <w:r w:rsidRPr="00D54B9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,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являются: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а) недополучение бюджетами бюджетной системы Российской Федерации денежных средств от уплаты земельного налога и арендных 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lastRenderedPageBreak/>
        <w:t>платежей по договорам аренды земельных участков, находящихся в государственной или муниципальной собственности;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б) </w:t>
      </w:r>
      <w:r w:rsidRPr="00D54B9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не проведени</w:t>
      </w:r>
      <w:r w:rsidRPr="00D54B9F">
        <w:rPr>
          <w:rFonts w:ascii="OpenSans" w:eastAsia="Times New Roman" w:hAnsi="OpenSans" w:cs="Times New Roman" w:hint="eastAsia"/>
          <w:color w:val="333333"/>
          <w:sz w:val="28"/>
          <w:szCs w:val="28"/>
          <w:lang w:eastAsia="ru-RU"/>
        </w:rPr>
        <w:t>е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в) 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г) ухудшение экологических условий;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д) причинение вреда земельному участку как природному объекту;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е) произвольное (несистемное) использование земельных участков;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ж) затраты бюджетных средств на проведение работ по приведению земель в состояние, пригодное для использования по целевому назначению.</w:t>
      </w:r>
    </w:p>
    <w:p w:rsidR="00D54B9F" w:rsidRPr="00D54B9F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754688" w:rsidRPr="003266E8" w:rsidRDefault="00754688" w:rsidP="001B659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266E8" w:rsidRDefault="0096476B" w:rsidP="008B2DDA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72F"/>
          <w:sz w:val="28"/>
          <w:szCs w:val="28"/>
        </w:rPr>
      </w:pPr>
      <w:r w:rsidRPr="0096476B">
        <w:rPr>
          <w:b/>
          <w:color w:val="22272F"/>
          <w:sz w:val="28"/>
          <w:szCs w:val="28"/>
        </w:rPr>
        <w:t>Раздел II</w:t>
      </w:r>
      <w:r w:rsidR="00754688" w:rsidRPr="00754688">
        <w:rPr>
          <w:b/>
          <w:color w:val="22272F"/>
          <w:sz w:val="28"/>
          <w:szCs w:val="28"/>
        </w:rPr>
        <w:t>. Ц</w:t>
      </w:r>
      <w:r w:rsidR="003266E8" w:rsidRPr="00754688">
        <w:rPr>
          <w:b/>
          <w:color w:val="22272F"/>
          <w:sz w:val="28"/>
          <w:szCs w:val="28"/>
        </w:rPr>
        <w:t xml:space="preserve">ели и задачи </w:t>
      </w:r>
      <w:proofErr w:type="gramStart"/>
      <w:r w:rsidR="003266E8" w:rsidRPr="00754688">
        <w:rPr>
          <w:b/>
          <w:color w:val="22272F"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8B2DDA">
        <w:rPr>
          <w:b/>
          <w:color w:val="22272F"/>
          <w:sz w:val="28"/>
          <w:szCs w:val="28"/>
        </w:rPr>
        <w:t>.</w:t>
      </w:r>
    </w:p>
    <w:p w:rsidR="008B2DDA" w:rsidRDefault="008B2DDA" w:rsidP="007553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F73567" w:rsidRP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73567" w:rsidRP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1</w:t>
      </w:r>
      <w:r w:rsidR="004155F4">
        <w:rPr>
          <w:color w:val="22272F"/>
          <w:sz w:val="28"/>
          <w:szCs w:val="28"/>
        </w:rPr>
        <w:t>.</w:t>
      </w:r>
      <w:r w:rsidRPr="00F73567">
        <w:rPr>
          <w:color w:val="22272F"/>
          <w:sz w:val="28"/>
          <w:szCs w:val="28"/>
        </w:rPr>
        <w:t xml:space="preserve"> </w:t>
      </w:r>
      <w:r w:rsidR="004155F4">
        <w:rPr>
          <w:color w:val="22272F"/>
          <w:sz w:val="28"/>
          <w:szCs w:val="28"/>
        </w:rPr>
        <w:t>С</w:t>
      </w:r>
      <w:r w:rsidRPr="00F73567">
        <w:rPr>
          <w:color w:val="22272F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F73567" w:rsidRP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2</w:t>
      </w:r>
      <w:r w:rsidR="004155F4">
        <w:rPr>
          <w:color w:val="22272F"/>
          <w:sz w:val="28"/>
          <w:szCs w:val="28"/>
        </w:rPr>
        <w:t>.</w:t>
      </w:r>
      <w:r w:rsidRPr="00F73567">
        <w:rPr>
          <w:color w:val="22272F"/>
          <w:sz w:val="28"/>
          <w:szCs w:val="28"/>
        </w:rPr>
        <w:t xml:space="preserve"> </w:t>
      </w:r>
      <w:r w:rsidR="004155F4">
        <w:rPr>
          <w:color w:val="22272F"/>
          <w:sz w:val="28"/>
          <w:szCs w:val="28"/>
        </w:rPr>
        <w:t>У</w:t>
      </w:r>
      <w:r w:rsidRPr="00F73567">
        <w:rPr>
          <w:color w:val="22272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3</w:t>
      </w:r>
      <w:r w:rsidR="004155F4">
        <w:rPr>
          <w:color w:val="22272F"/>
          <w:sz w:val="28"/>
          <w:szCs w:val="28"/>
        </w:rPr>
        <w:t>.</w:t>
      </w:r>
      <w:r w:rsidRPr="00F73567">
        <w:rPr>
          <w:color w:val="22272F"/>
          <w:sz w:val="28"/>
          <w:szCs w:val="28"/>
        </w:rPr>
        <w:t xml:space="preserve"> </w:t>
      </w:r>
      <w:r w:rsidR="004155F4">
        <w:rPr>
          <w:color w:val="22272F"/>
          <w:sz w:val="28"/>
          <w:szCs w:val="28"/>
        </w:rPr>
        <w:t>С</w:t>
      </w:r>
      <w:r w:rsidRPr="00F73567">
        <w:rPr>
          <w:color w:val="22272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55F4" w:rsidRPr="004155F4" w:rsidRDefault="004155F4" w:rsidP="001B65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155F4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4155F4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4155F4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</w:t>
      </w:r>
      <w:r w:rsidRPr="004155F4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определение способов устранения или снижения угрозы;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color w:val="22272F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B2DDA" w:rsidRPr="003266E8" w:rsidRDefault="008B2DDA" w:rsidP="001B659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266E8" w:rsidRDefault="0096476B" w:rsidP="008B2DDA">
      <w:pPr>
        <w:pStyle w:val="s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22272F"/>
          <w:sz w:val="28"/>
          <w:szCs w:val="28"/>
        </w:rPr>
      </w:pPr>
      <w:r w:rsidRPr="0096476B">
        <w:rPr>
          <w:b/>
          <w:color w:val="22272F"/>
          <w:sz w:val="28"/>
          <w:szCs w:val="28"/>
        </w:rPr>
        <w:t>Раздел III</w:t>
      </w:r>
      <w:r w:rsidR="00754688">
        <w:rPr>
          <w:b/>
          <w:color w:val="22272F"/>
          <w:sz w:val="28"/>
          <w:szCs w:val="28"/>
        </w:rPr>
        <w:t xml:space="preserve">. </w:t>
      </w:r>
      <w:r w:rsidR="00754688" w:rsidRPr="00754688">
        <w:rPr>
          <w:b/>
          <w:color w:val="22272F"/>
          <w:sz w:val="28"/>
          <w:szCs w:val="28"/>
        </w:rPr>
        <w:t>П</w:t>
      </w:r>
      <w:r w:rsidR="003266E8" w:rsidRPr="00754688">
        <w:rPr>
          <w:b/>
          <w:color w:val="22272F"/>
          <w:sz w:val="28"/>
          <w:szCs w:val="28"/>
        </w:rPr>
        <w:t>еречень профилактических мероприятий,</w:t>
      </w:r>
      <w:r w:rsidR="00755342">
        <w:rPr>
          <w:b/>
          <w:color w:val="22272F"/>
          <w:sz w:val="28"/>
          <w:szCs w:val="28"/>
        </w:rPr>
        <w:t xml:space="preserve"> </w:t>
      </w:r>
      <w:r w:rsidR="003266E8" w:rsidRPr="00754688">
        <w:rPr>
          <w:b/>
          <w:color w:val="22272F"/>
          <w:sz w:val="28"/>
          <w:szCs w:val="28"/>
        </w:rPr>
        <w:t>срок</w:t>
      </w:r>
      <w:r w:rsidR="00754688" w:rsidRPr="00754688">
        <w:rPr>
          <w:b/>
          <w:color w:val="22272F"/>
          <w:sz w:val="28"/>
          <w:szCs w:val="28"/>
        </w:rPr>
        <w:t>и (периодичность) их проведения</w:t>
      </w:r>
      <w:r w:rsidR="008B2DDA">
        <w:rPr>
          <w:b/>
          <w:color w:val="22272F"/>
          <w:sz w:val="28"/>
          <w:szCs w:val="28"/>
        </w:rPr>
        <w:t>.</w:t>
      </w:r>
    </w:p>
    <w:p w:rsidR="008B2DDA" w:rsidRDefault="008B2DDA" w:rsidP="008B2DDA">
      <w:pPr>
        <w:pStyle w:val="s1"/>
        <w:shd w:val="clear" w:color="auto" w:fill="FFFFFF"/>
        <w:spacing w:before="0" w:beforeAutospacing="0" w:after="0" w:afterAutospacing="0"/>
        <w:ind w:firstLine="540"/>
        <w:jc w:val="center"/>
        <w:rPr>
          <w:color w:val="22272F"/>
          <w:sz w:val="28"/>
          <w:szCs w:val="28"/>
        </w:rPr>
      </w:pPr>
    </w:p>
    <w:p w:rsidR="00754688" w:rsidRDefault="00754688" w:rsidP="001B659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осуществлении </w:t>
      </w:r>
      <w:r w:rsidRPr="00621E30">
        <w:rPr>
          <w:color w:val="000000"/>
          <w:sz w:val="28"/>
          <w:szCs w:val="28"/>
        </w:rPr>
        <w:t>Уполномоченным органом</w:t>
      </w:r>
      <w:r>
        <w:rPr>
          <w:color w:val="000000"/>
          <w:sz w:val="28"/>
          <w:szCs w:val="28"/>
        </w:rPr>
        <w:t xml:space="preserve"> муниципального земельного контроля могут проводиться следующие виды профилактических мероприятий:</w:t>
      </w:r>
    </w:p>
    <w:p w:rsidR="003266E8" w:rsidRDefault="003266E8" w:rsidP="0075534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информирование:</w:t>
      </w:r>
    </w:p>
    <w:p w:rsidR="003266E8" w:rsidRDefault="003266E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осуществляется </w:t>
      </w:r>
      <w:r w:rsidRPr="00B60C3F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Pr="00BC294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средствах массовой информации.</w:t>
      </w:r>
    </w:p>
    <w:p w:rsidR="003266E8" w:rsidRDefault="003266E8" w:rsidP="001B6592">
      <w:pPr>
        <w:pStyle w:val="ConsPlusNormal"/>
        <w:ind w:firstLine="540"/>
        <w:jc w:val="both"/>
      </w:pPr>
      <w:r w:rsidRPr="00B60C3F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 размещать и поддерживать в актуальном состоянии на официальном сайте Администрации </w:t>
      </w:r>
      <w:r w:rsidRPr="00BC294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предусмотренные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7546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6E8" w:rsidRDefault="002E2111" w:rsidP="0075534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54688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предостережений:</w:t>
      </w:r>
    </w:p>
    <w:p w:rsidR="00754688" w:rsidRDefault="00754688" w:rsidP="001B6592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объявляется контролируемому лицу в случае наличия у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>руководителем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54688" w:rsidRDefault="00754688" w:rsidP="001B65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Уполномоченным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Уполномоченным органом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754688" w:rsidRDefault="00754688" w:rsidP="001B65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4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принятия представленных в возражении контролируемого лица доводов руководитель Уполномоченного органа аннулирует направленное ранее предостережение с соответствующей отметкой в журнале учета объявленных предостережений.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возражением указываются соответствующие обоснования.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3266E8" w:rsidRDefault="002E2111" w:rsidP="0075534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54688">
        <w:rPr>
          <w:rFonts w:ascii="Times New Roman" w:hAnsi="Times New Roman" w:cs="Times New Roman"/>
          <w:color w:val="000000"/>
          <w:sz w:val="28"/>
          <w:szCs w:val="28"/>
        </w:rPr>
        <w:t>) консультирование: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>руководителем 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официальном сайте Администрации </w:t>
      </w:r>
      <w:r w:rsidRPr="000B7A8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 в следующих случаях: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</w:t>
      </w:r>
      <w:r w:rsidR="002E21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ероприятия, а также результаты проведенных в рамках контрольного </w:t>
      </w:r>
      <w:r w:rsidR="002E211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ероприятия экспертизы, испытаний.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муниципальный земельный контроль в ходе консультирования, не может использоваться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754688" w:rsidRDefault="00754688" w:rsidP="001B6592">
      <w:pPr>
        <w:pStyle w:val="ConsPlusNormal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земельный контроль ведется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 учета консультирований.</w:t>
      </w:r>
    </w:p>
    <w:p w:rsidR="002E2111" w:rsidRDefault="00754688" w:rsidP="001B65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 w:rsidRPr="006E43F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разъяснения.</w:t>
      </w:r>
    </w:p>
    <w:p w:rsidR="008B2DDA" w:rsidRPr="00901F31" w:rsidRDefault="008B2DDA" w:rsidP="001B659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3119"/>
        <w:gridCol w:w="3402"/>
      </w:tblGrid>
      <w:tr w:rsidR="004155F4" w:rsidRPr="00720002" w:rsidTr="00D27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90F59" w:rsidRPr="00720002" w:rsidTr="00D27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755342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601">
              <w:rPr>
                <w:rFonts w:ascii="OpenSans" w:eastAsia="Times New Roman" w:hAnsi="OpenSans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по муниципальному земельному контролю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</w:p>
        </w:tc>
      </w:tr>
      <w:tr w:rsidR="004155F4" w:rsidRPr="00720002" w:rsidTr="00D27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2E2111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4155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бъявление предостережений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23" w:rsidRDefault="002C4D55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D5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  <w:p w:rsidR="004155F4" w:rsidRPr="00CE295A" w:rsidRDefault="002C4D55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D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(при наличии оснований)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23" w:rsidRDefault="00134523" w:rsidP="0013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по муниципальному земельному контролю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</w:p>
        </w:tc>
      </w:tr>
      <w:tr w:rsidR="004155F4" w:rsidRPr="00720002" w:rsidTr="00D27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2E2111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4155F4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B90F59" w:rsidRDefault="00D27E77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7E77">
              <w:rPr>
                <w:rFonts w:ascii="OpenSans" w:eastAsia="Times New Roman" w:hAnsi="OpenSans" w:cs="Times New Roman"/>
                <w:color w:val="333333"/>
                <w:sz w:val="24"/>
                <w:szCs w:val="24"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23" w:rsidRDefault="00134523" w:rsidP="0013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по муниципальному земельному контролю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</w:p>
        </w:tc>
      </w:tr>
    </w:tbl>
    <w:p w:rsidR="002E2111" w:rsidRDefault="002E2111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3266E8" w:rsidRDefault="0096476B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6476B">
        <w:rPr>
          <w:b/>
          <w:color w:val="22272F"/>
          <w:sz w:val="28"/>
          <w:szCs w:val="28"/>
        </w:rPr>
        <w:t>Раздел IV</w:t>
      </w:r>
      <w:r w:rsidR="00754688">
        <w:rPr>
          <w:b/>
          <w:color w:val="22272F"/>
          <w:sz w:val="28"/>
          <w:szCs w:val="28"/>
        </w:rPr>
        <w:t>. П</w:t>
      </w:r>
      <w:r w:rsidR="003266E8" w:rsidRPr="00754688">
        <w:rPr>
          <w:b/>
          <w:color w:val="22272F"/>
          <w:sz w:val="28"/>
          <w:szCs w:val="28"/>
        </w:rPr>
        <w:t xml:space="preserve">оказатели результативности и эффективности </w:t>
      </w:r>
      <w:proofErr w:type="gramStart"/>
      <w:r w:rsidR="003266E8" w:rsidRPr="00754688">
        <w:rPr>
          <w:b/>
          <w:color w:val="22272F"/>
          <w:sz w:val="28"/>
          <w:szCs w:val="28"/>
        </w:rPr>
        <w:t>программы профилактики рисков причинения вреда</w:t>
      </w:r>
      <w:proofErr w:type="gramEnd"/>
      <w:r w:rsidR="003266E8" w:rsidRPr="003266E8">
        <w:rPr>
          <w:color w:val="22272F"/>
          <w:sz w:val="28"/>
          <w:szCs w:val="28"/>
        </w:rPr>
        <w:t>.</w:t>
      </w:r>
    </w:p>
    <w:p w:rsidR="008B2DDA" w:rsidRPr="003266E8" w:rsidRDefault="008B2DDA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AD12A1" w:rsidRDefault="004155F4" w:rsidP="001B6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563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осуществляется после ее реализации.</w:t>
      </w:r>
    </w:p>
    <w:p w:rsidR="008B2DDA" w:rsidRPr="00274563" w:rsidRDefault="008B2DDA" w:rsidP="001B6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237"/>
        <w:gridCol w:w="2693"/>
      </w:tblGrid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77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 w:rsidRPr="0027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150FEC" w:rsidRDefault="00150FEC" w:rsidP="002E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8B"/>
    <w:rsid w:val="00036EE6"/>
    <w:rsid w:val="00134523"/>
    <w:rsid w:val="00150FEC"/>
    <w:rsid w:val="001B6592"/>
    <w:rsid w:val="00274563"/>
    <w:rsid w:val="002C4D55"/>
    <w:rsid w:val="002E2111"/>
    <w:rsid w:val="003266E8"/>
    <w:rsid w:val="003F3A4D"/>
    <w:rsid w:val="004155F4"/>
    <w:rsid w:val="004F46E7"/>
    <w:rsid w:val="007368B7"/>
    <w:rsid w:val="00754688"/>
    <w:rsid w:val="00755342"/>
    <w:rsid w:val="00784234"/>
    <w:rsid w:val="00790681"/>
    <w:rsid w:val="008B2DDA"/>
    <w:rsid w:val="00901F31"/>
    <w:rsid w:val="0096476B"/>
    <w:rsid w:val="00AD12A1"/>
    <w:rsid w:val="00B90F59"/>
    <w:rsid w:val="00BF0E21"/>
    <w:rsid w:val="00C33DD0"/>
    <w:rsid w:val="00CE5391"/>
    <w:rsid w:val="00D262F3"/>
    <w:rsid w:val="00D27E77"/>
    <w:rsid w:val="00D54B9F"/>
    <w:rsid w:val="00DD7C8B"/>
    <w:rsid w:val="00EE3334"/>
    <w:rsid w:val="00F73567"/>
    <w:rsid w:val="00F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66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1">
    <w:name w:val="WW8Num1z1"/>
    <w:rsid w:val="003266E8"/>
  </w:style>
  <w:style w:type="character" w:styleId="a3">
    <w:name w:val="Hyperlink"/>
    <w:rsid w:val="00326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5F4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C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66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1">
    <w:name w:val="WW8Num1z1"/>
    <w:rsid w:val="003266E8"/>
  </w:style>
  <w:style w:type="character" w:styleId="a3">
    <w:name w:val="Hyperlink"/>
    <w:rsid w:val="00326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5F4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C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1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6674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Ratkova</dc:creator>
  <cp:keywords/>
  <dc:description/>
  <cp:lastModifiedBy>Пользователь</cp:lastModifiedBy>
  <cp:revision>20</cp:revision>
  <dcterms:created xsi:type="dcterms:W3CDTF">2021-09-02T06:42:00Z</dcterms:created>
  <dcterms:modified xsi:type="dcterms:W3CDTF">2021-10-01T03:21:00Z</dcterms:modified>
</cp:coreProperties>
</file>