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34" w:rsidRDefault="006E7716" w:rsidP="006558A0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23334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123334" w:rsidRDefault="00123334" w:rsidP="001233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1DB" w:rsidRDefault="00123334" w:rsidP="000411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0411DB" w:rsidRPr="000411DB">
        <w:rPr>
          <w:rFonts w:ascii="Times New Roman" w:hAnsi="Times New Roman" w:cs="Times New Roman"/>
          <w:sz w:val="26"/>
          <w:szCs w:val="26"/>
        </w:rPr>
        <w:t xml:space="preserve">орма отчета о реализации муниципального плана мероприятий </w:t>
      </w: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1DB">
        <w:rPr>
          <w:rFonts w:ascii="Times New Roman" w:hAnsi="Times New Roman" w:cs="Times New Roman"/>
          <w:sz w:val="26"/>
          <w:szCs w:val="26"/>
        </w:rPr>
        <w:t>(«дорожной карты») по содействию развитию конкуренции на товарных рынках муниципального образования</w:t>
      </w:r>
      <w:r w:rsidR="00934AA6">
        <w:rPr>
          <w:rFonts w:ascii="Times New Roman" w:hAnsi="Times New Roman" w:cs="Times New Roman"/>
          <w:sz w:val="26"/>
          <w:szCs w:val="26"/>
        </w:rPr>
        <w:t xml:space="preserve"> Орджоникидзевский район</w:t>
      </w:r>
    </w:p>
    <w:p w:rsidR="000411DB" w:rsidRPr="00113D76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11DB">
        <w:rPr>
          <w:rFonts w:ascii="Times New Roman" w:hAnsi="Times New Roman" w:cs="Times New Roman"/>
          <w:color w:val="000000"/>
          <w:sz w:val="26"/>
          <w:szCs w:val="26"/>
        </w:rPr>
        <w:t>Системные мероприятия, направленные на развитие конкуренции</w:t>
      </w: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40"/>
        <w:gridCol w:w="4452"/>
        <w:gridCol w:w="4642"/>
      </w:tblGrid>
      <w:tr w:rsidR="000411DB" w:rsidTr="007F2CDE">
        <w:tc>
          <w:tcPr>
            <w:tcW w:w="540" w:type="dxa"/>
          </w:tcPr>
          <w:p w:rsidR="000411DB" w:rsidRPr="003F5E14" w:rsidRDefault="000411DB" w:rsidP="00CC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2" w:type="dxa"/>
          </w:tcPr>
          <w:p w:rsidR="000411DB" w:rsidRPr="003F5E14" w:rsidRDefault="000411DB" w:rsidP="00CC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42" w:type="dxa"/>
          </w:tcPr>
          <w:p w:rsidR="000411DB" w:rsidRDefault="000411DB" w:rsidP="0004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исполнения</w:t>
            </w:r>
          </w:p>
          <w:p w:rsidR="000411DB" w:rsidRDefault="000411DB" w:rsidP="000411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411DB" w:rsidTr="007F2CDE">
        <w:tc>
          <w:tcPr>
            <w:tcW w:w="540" w:type="dxa"/>
          </w:tcPr>
          <w:p w:rsidR="000411DB" w:rsidRPr="003F5E14" w:rsidRDefault="000411DB" w:rsidP="00CC2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0411DB" w:rsidRPr="003F5E14" w:rsidRDefault="001C5D8B" w:rsidP="001C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2" w:type="dxa"/>
          </w:tcPr>
          <w:p w:rsidR="000411DB" w:rsidRPr="00B74EB7" w:rsidRDefault="000411DB" w:rsidP="00B74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1DB" w:rsidRPr="00113D76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0411DB" w:rsidRPr="004151D1" w:rsidRDefault="004151D1" w:rsidP="004151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151D1">
        <w:rPr>
          <w:rFonts w:ascii="Times New Roman" w:hAnsi="Times New Roman" w:cs="Times New Roman"/>
          <w:color w:val="000000"/>
          <w:sz w:val="26"/>
          <w:szCs w:val="26"/>
        </w:rPr>
        <w:t>Мероприятия, направленные на достижение ключевых показателей развития конкуренции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51D1">
        <w:rPr>
          <w:rFonts w:ascii="Times New Roman" w:hAnsi="Times New Roman" w:cs="Times New Roman"/>
          <w:color w:val="000000"/>
          <w:sz w:val="26"/>
          <w:szCs w:val="26"/>
        </w:rPr>
        <w:t>на товарных рынках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1D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151D1" w:rsidRPr="00113D76" w:rsidRDefault="004151D1" w:rsidP="000411D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6"/>
        </w:rPr>
      </w:pPr>
    </w:p>
    <w:tbl>
      <w:tblPr>
        <w:tblStyle w:val="2"/>
        <w:tblW w:w="9781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114"/>
        <w:gridCol w:w="1715"/>
        <w:gridCol w:w="1134"/>
        <w:gridCol w:w="1007"/>
        <w:gridCol w:w="7"/>
        <w:gridCol w:w="3096"/>
      </w:tblGrid>
      <w:tr w:rsidR="00530646" w:rsidRPr="006B78F6" w:rsidTr="007F2CDE">
        <w:tc>
          <w:tcPr>
            <w:tcW w:w="708" w:type="dxa"/>
            <w:vMerge w:val="restart"/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4" w:type="dxa"/>
            <w:vMerge w:val="restart"/>
            <w:shd w:val="clear" w:color="auto" w:fill="auto"/>
          </w:tcPr>
          <w:p w:rsidR="00530646" w:rsidRPr="006B78F6" w:rsidRDefault="00530646" w:rsidP="001A2E1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530646" w:rsidRPr="006B78F6" w:rsidRDefault="00530646" w:rsidP="007F2CDE">
            <w:pPr>
              <w:spacing w:after="0" w:line="240" w:lineRule="auto"/>
              <w:ind w:left="-95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530646" w:rsidRPr="006B78F6" w:rsidRDefault="00EA40ED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2023</w:t>
            </w:r>
            <w:r w:rsidR="00530646"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%</w:t>
            </w:r>
          </w:p>
        </w:tc>
        <w:tc>
          <w:tcPr>
            <w:tcW w:w="3096" w:type="dxa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исполнения</w:t>
            </w:r>
          </w:p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bookmarkStart w:id="0" w:name="_GoBack"/>
            <w:bookmarkEnd w:id="0"/>
          </w:p>
        </w:tc>
      </w:tr>
      <w:tr w:rsidR="00530646" w:rsidRPr="006B78F6" w:rsidTr="007F2CDE"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1DB" w:rsidRPr="006B78F6" w:rsidTr="007F2C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DB" w:rsidRPr="006B78F6" w:rsidRDefault="000411DB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</w:tr>
      <w:tr w:rsidR="00E16733" w:rsidRPr="006B78F6" w:rsidTr="007F2CDE">
        <w:trPr>
          <w:trHeight w:val="39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33" w:rsidRPr="00A951B9" w:rsidRDefault="00E16733" w:rsidP="00E16733">
            <w:pPr>
              <w:widowControl w:val="0"/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</w:tr>
      <w:tr w:rsidR="00113D76" w:rsidRPr="006B78F6" w:rsidTr="007F2C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  <w:jc w:val="both"/>
            </w:pPr>
            <w:r w:rsidRPr="006B78F6">
              <w:t>1.1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 по дополнительному образованию детей через развитие всех направленностей дополнительного образования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охватом детей дополнительным образованием</w:t>
            </w:r>
          </w:p>
          <w:p w:rsidR="00113D76" w:rsidRPr="006B78F6" w:rsidRDefault="00113D76" w:rsidP="00113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EA40ED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  <w:r w:rsidR="00113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0E7033" w:rsidP="00F8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3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113D76" w:rsidRPr="000E70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3" w:rsidRPr="007238F3" w:rsidRDefault="007238F3" w:rsidP="007238F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38F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Орджоникидзевском районе по </w:t>
            </w:r>
            <w:r w:rsidRPr="007238F3">
              <w:rPr>
                <w:rFonts w:ascii="Times New Roman" w:eastAsiaTheme="minorHAnsi" w:hAnsi="Times New Roman" w:cs="Times New Roman"/>
                <w:sz w:val="24"/>
                <w:szCs w:val="24"/>
              </w:rPr>
              <w:t>состоянию на</w:t>
            </w:r>
            <w:r w:rsidRPr="007238F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21 </w:t>
            </w:r>
            <w:r w:rsidRPr="007238F3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апреля 2023</w:t>
            </w:r>
            <w:r w:rsidRPr="007238F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года в системе АИС «Навигатор дополнительного образования» зарегистрированы 14 образовательных организации (10 школ, 2 детского сада, ФГАПОУ РХ "Аграрный Техникум", МБУ ДО «КРДДТ»). Общее количество программ составляет 126, из них: 7 технической направленности, 9 естественнонаучной, 36 художественной направленности, 1 туристско-краеведческой направленности, 33 физкультурно-спортивной направленности, 40 социально-гуманитарной направленности. </w:t>
            </w:r>
          </w:p>
          <w:p w:rsidR="007238F3" w:rsidRPr="007238F3" w:rsidRDefault="007238F3" w:rsidP="007238F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38F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Орджоникидзевском районе на второе </w:t>
            </w:r>
            <w:r w:rsidRPr="007238F3">
              <w:rPr>
                <w:rFonts w:ascii="Times New Roman" w:eastAsiaTheme="minorHAnsi" w:hAnsi="Times New Roman" w:cs="Times New Roman"/>
                <w:sz w:val="24"/>
                <w:szCs w:val="24"/>
              </w:rPr>
              <w:t>учебное полугодие</w:t>
            </w:r>
            <w:r w:rsidRPr="007238F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2022 – 2023 года, в системе «Навигатор» охват детей, в </w:t>
            </w:r>
            <w:r w:rsidRPr="007238F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возрасте от 5 до 18 лет составляет 2853 обучающихся (без дубляжа 1399 ребенка). Всего обучающихся в этом календарном году зачислено 1 389, что составляет </w:t>
            </w: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 xml:space="preserve">74%. </w:t>
            </w:r>
            <w:r w:rsidRPr="007238F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общего количества детей в возрасте от 5 до 18 лет (1877). </w:t>
            </w:r>
          </w:p>
          <w:p w:rsidR="007238F3" w:rsidRPr="007238F3" w:rsidRDefault="007238F3" w:rsidP="007238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закону от 28.12.2022 г. № 568-ФЗ расширена сфера применения социального заказа на оказание социальных услуг, в том числе и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искусств). Государственный (муниципальный) социальный заказ должен быть сформирован в срок до 1 марта 2023 года – это срок также установлен указанным выше Федеральным законом.</w:t>
            </w:r>
          </w:p>
          <w:p w:rsidR="007238F3" w:rsidRPr="007238F3" w:rsidRDefault="007238F3" w:rsidP="007238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«Дорожной карты» портала «Поддержка внедрения персонифицированного финансирования и независимой оценки качества» по </w:t>
            </w: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>внедрению социального</w:t>
            </w: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 xml:space="preserve"> заказа выполняются своевременно в соответствии с принятыми нормативными актами на Федеральном и Республиканском уровне. На данный момент из 16 шагов выполнено 8.</w:t>
            </w:r>
          </w:p>
          <w:p w:rsidR="007238F3" w:rsidRPr="007238F3" w:rsidRDefault="007238F3" w:rsidP="007238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 xml:space="preserve">1 шаг. Разработан проект правового акта администрации муниципального образования </w:t>
            </w:r>
            <w:proofErr w:type="gramStart"/>
            <w:r w:rsidRPr="007238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2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сфере.</w:t>
            </w:r>
          </w:p>
          <w:p w:rsidR="007238F3" w:rsidRPr="007238F3" w:rsidRDefault="007238F3" w:rsidP="007238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 xml:space="preserve">2 шаг. Утвержден правовой акт администрации муниципального образования </w:t>
            </w:r>
            <w:proofErr w:type="gramStart"/>
            <w:r w:rsidRPr="007238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238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сфере.</w:t>
            </w:r>
          </w:p>
          <w:p w:rsidR="007238F3" w:rsidRPr="007238F3" w:rsidRDefault="007238F3" w:rsidP="007238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>3 шаг. Разработан проект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(наименование муниципального образования), о форме и сроках формирования отчета об их исполнении</w:t>
            </w:r>
          </w:p>
          <w:p w:rsidR="007238F3" w:rsidRPr="007238F3" w:rsidRDefault="007238F3" w:rsidP="007238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>4 шаг. Утвержден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(наименование муниципального образования), о форме и сроках формирования отчета об их исполнении</w:t>
            </w:r>
          </w:p>
          <w:p w:rsidR="007238F3" w:rsidRPr="007238F3" w:rsidRDefault="007238F3" w:rsidP="007238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 xml:space="preserve">5 шаг. Принят расчет объемов муниципального социального заказа на оказание услуг по реализации дополнительных </w:t>
            </w:r>
            <w:r w:rsidRPr="0072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программ.</w:t>
            </w:r>
          </w:p>
          <w:p w:rsidR="007238F3" w:rsidRPr="007238F3" w:rsidRDefault="007238F3" w:rsidP="007238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>6 шаг</w:t>
            </w:r>
            <w:proofErr w:type="gramStart"/>
            <w:r w:rsidRPr="0072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38F3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проект муниципального социального заказа на оказание услуг по реализации дополнительных общеразвивающих программ</w:t>
            </w:r>
          </w:p>
          <w:p w:rsidR="007238F3" w:rsidRPr="007238F3" w:rsidRDefault="007238F3" w:rsidP="007238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>7 шаг. Утвержден муниципальный социальный заказ на оказание услуг по реализации дополнительных общеразвивающих программ</w:t>
            </w:r>
          </w:p>
          <w:p w:rsidR="007238F3" w:rsidRPr="007238F3" w:rsidRDefault="007238F3" w:rsidP="007238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>8 шаг. Внесено изменение в решение о бюджете для закрепления финансового обеспечения мероприятия по оказанию услуг в соответствии с социальным сертификатом. Согласно утвержденному Порядку о внедрении социального заказа, внесены изменения в муниципальные бюджеты.</w:t>
            </w:r>
          </w:p>
          <w:p w:rsidR="00113D76" w:rsidRPr="007238F3" w:rsidRDefault="007238F3" w:rsidP="007238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38F3">
              <w:rPr>
                <w:rFonts w:ascii="Times New Roman" w:hAnsi="Times New Roman" w:cs="Times New Roman"/>
                <w:sz w:val="24"/>
                <w:szCs w:val="24"/>
              </w:rPr>
              <w:t>Остальные шаги с 9 по 16 шаг будут выполнены после принятия нормативных актов на Федеральном уровне и загрузке в базу знаний шаблонов и рекомендаций по их составлению на муниципальном уровне.</w:t>
            </w:r>
          </w:p>
        </w:tc>
      </w:tr>
      <w:tr w:rsidR="00113D76" w:rsidRPr="006B78F6" w:rsidTr="007F2C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A951B9" w:rsidRDefault="00113D76" w:rsidP="0011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113D76" w:rsidRPr="006B78F6" w:rsidTr="007F2C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pStyle w:val="ConsPlusNormal"/>
            </w:pPr>
            <w:r w:rsidRPr="000E7033">
              <w:t>2.1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pStyle w:val="ConsPlusNormal"/>
            </w:pPr>
            <w:r w:rsidRPr="000E7033">
              <w:t>Повышение охвата детского отдыха и оздоровления детей через различные формы летней занятости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pStyle w:val="ConsPlusNormal"/>
            </w:pPr>
            <w:r w:rsidRPr="000E7033">
              <w:t xml:space="preserve">Численность детей в возрасте от 7 до 17 лет, проживающих на территории района, воспользовавшихся правом на отдых и оздоровление в общей </w:t>
            </w:r>
            <w:r w:rsidRPr="000E7033">
              <w:lastRenderedPageBreak/>
              <w:t>численности детей данной категории</w:t>
            </w:r>
          </w:p>
          <w:p w:rsidR="00113D76" w:rsidRPr="000E7033" w:rsidRDefault="00113D76" w:rsidP="000E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8A576D" w:rsidP="000E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33">
              <w:rPr>
                <w:rFonts w:ascii="Times New Roman" w:hAnsi="Times New Roman" w:cs="Times New Roman"/>
              </w:rPr>
              <w:lastRenderedPageBreak/>
              <w:t>98</w:t>
            </w:r>
            <w:r w:rsidR="00113D76" w:rsidRPr="000E70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7F2CDE" w:rsidP="000E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CD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113D76" w:rsidRPr="007F2C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3" w:rsidRPr="000E7033" w:rsidRDefault="000E7033" w:rsidP="000E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и подростков в Орджоникидзевском районе осуществляется в соответствии с Федеральным законом от 24 июля 1998 г. №124-ФЗ «Об основных гарантиях прав ребенка в Российской Федерации», с последующими </w:t>
            </w:r>
            <w:r w:rsidRPr="000E7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и дополнениями.</w:t>
            </w:r>
          </w:p>
          <w:p w:rsidR="000E7033" w:rsidRPr="000E7033" w:rsidRDefault="000E7033" w:rsidP="000E7033">
            <w:pPr>
              <w:pStyle w:val="20"/>
              <w:spacing w:after="0" w:line="240" w:lineRule="auto"/>
              <w:rPr>
                <w:rStyle w:val="markedcontent"/>
              </w:rPr>
            </w:pPr>
            <w:r w:rsidRPr="000E7033">
              <w:t>В рамках программы «Содействие занятости населения Орджоникидзевского района» в июне 2022 года, согласно муниципальной прогр</w:t>
            </w:r>
            <w:r>
              <w:t>амме</w:t>
            </w:r>
            <w:r w:rsidRPr="000E7033">
              <w:t xml:space="preserve"> через центр занятости планируется </w:t>
            </w:r>
            <w:r w:rsidRPr="000E7033">
              <w:t>к трудоустройству</w:t>
            </w:r>
            <w:r w:rsidRPr="000E7033">
              <w:t xml:space="preserve"> 22 (АППГ-22) подростка, состоящих на различных видах профилактического учета и находящийся в трудной жизненной ситуации. К</w:t>
            </w:r>
            <w:r>
              <w:t>роме того,</w:t>
            </w:r>
            <w:r w:rsidRPr="000E7033">
              <w:t xml:space="preserve"> в летний период 2023 года на базе 4 МБОУ планируются к открытию </w:t>
            </w:r>
            <w:r w:rsidRPr="000E7033">
              <w:t>4 лагеря</w:t>
            </w:r>
            <w:r w:rsidRPr="000E7033">
              <w:t xml:space="preserve"> труда и отдыха, где будет обеспечено оздоровление и трудоустройство 75 подростков в возрасте от 14 до 18 лет. Также, при условии получения положительного заключения </w:t>
            </w:r>
            <w:proofErr w:type="spellStart"/>
            <w:r w:rsidRPr="000E7033">
              <w:t>Роспотребнадзора</w:t>
            </w:r>
            <w:proofErr w:type="spellEnd"/>
            <w:r w:rsidRPr="000E7033">
              <w:t xml:space="preserve"> по РХ, планируется к открытию 9 лагерей с дневным пребыванием детей </w:t>
            </w:r>
            <w:r w:rsidRPr="000E7033">
              <w:t>с общим охватом</w:t>
            </w:r>
            <w:r w:rsidRPr="000E7033">
              <w:t xml:space="preserve"> 545 человек.</w:t>
            </w:r>
          </w:p>
          <w:p w:rsidR="00D44EFE" w:rsidRPr="000E7033" w:rsidRDefault="000E7033" w:rsidP="000E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33">
              <w:rPr>
                <w:rStyle w:val="a4"/>
                <w:rFonts w:ascii="Times New Roman" w:hAnsi="Times New Roman" w:cs="Times New Roman"/>
              </w:rPr>
              <w:t xml:space="preserve">С учетом </w:t>
            </w:r>
            <w:r w:rsidRPr="000E7033">
              <w:rPr>
                <w:rFonts w:ascii="Times New Roman" w:hAnsi="Times New Roman" w:cs="Times New Roman"/>
              </w:rPr>
              <w:t xml:space="preserve">санитарно-эпидемиологических </w:t>
            </w:r>
            <w:hyperlink r:id="rId5" w:history="1">
              <w:r w:rsidRPr="000E7033">
                <w:rPr>
                  <w:rStyle w:val="a8"/>
                  <w:rFonts w:ascii="Times New Roman" w:hAnsi="Times New Roman" w:cs="Times New Roman"/>
                </w:rPr>
                <w:t>правил</w:t>
              </w:r>
            </w:hyperlink>
            <w:r w:rsidRPr="000E7033">
              <w:rPr>
                <w:rFonts w:ascii="Times New Roman" w:hAnsi="Times New Roman" w:cs="Times New Roman"/>
              </w:rPr>
      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E7033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E7033">
              <w:rPr>
                <w:rFonts w:ascii="Times New Roman" w:hAnsi="Times New Roman" w:cs="Times New Roman"/>
              </w:rPr>
              <w:t xml:space="preserve"> инфекции (COVID-19)», утвержденных постановлением Главного государственного санитарного врача Российской Федерации от 30.06.2020 № 16) не представляется возможным обеспечить  деятельность </w:t>
            </w:r>
            <w:r w:rsidRPr="000E7033">
              <w:rPr>
                <w:rFonts w:ascii="Times New Roman" w:hAnsi="Times New Roman" w:cs="Times New Roman"/>
              </w:rPr>
              <w:lastRenderedPageBreak/>
              <w:t>передвижных лагерей палаточного типа</w:t>
            </w:r>
          </w:p>
        </w:tc>
      </w:tr>
      <w:tr w:rsidR="00113D76" w:rsidRPr="006B78F6" w:rsidTr="007F2CDE">
        <w:trPr>
          <w:trHeight w:val="46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услуг в сфере жилищно-коммунального хозяйства</w:t>
            </w:r>
          </w:p>
        </w:tc>
      </w:tr>
      <w:tr w:rsidR="00113D76" w:rsidRPr="006B78F6" w:rsidTr="007F2C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3.1.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  <w:ind w:right="-115"/>
            </w:pPr>
            <w:r w:rsidRPr="006B78F6">
              <w:t>Мониторинг деятельности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hAnsi="Times New Roman" w:cs="Times New Roman"/>
              </w:rPr>
              <w:t>Повышение эффективности управления объектами жилищно-коммунального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752D0E" w:rsidRDefault="00113D76" w:rsidP="0011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 w:rsidRPr="00752D0E">
              <w:rPr>
                <w:rFonts w:ascii="Times New Roman" w:hAnsi="Times New Roman" w:cs="Times New Roman"/>
                <w:sz w:val="24"/>
                <w:szCs w:val="24"/>
              </w:rPr>
              <w:t>жилищно - коммунальных услуг сохранен, общий объем производимых услуг остался на прежнем уровне.</w:t>
            </w:r>
          </w:p>
          <w:p w:rsidR="00113D76" w:rsidRPr="00A951B9" w:rsidRDefault="00113D76" w:rsidP="00113D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1B9">
              <w:rPr>
                <w:rFonts w:ascii="Times New Roman" w:eastAsia="Times New Roman" w:hAnsi="Times New Roman" w:cs="Times New Roman"/>
              </w:rPr>
              <w:t>Средняя обеспеч</w:t>
            </w:r>
            <w:r w:rsidR="008A576D">
              <w:rPr>
                <w:rFonts w:ascii="Times New Roman" w:eastAsia="Times New Roman" w:hAnsi="Times New Roman" w:cs="Times New Roman"/>
              </w:rPr>
              <w:t xml:space="preserve">енность населения жильем   33,4 </w:t>
            </w:r>
            <w:r w:rsidRPr="00A951B9">
              <w:rPr>
                <w:rFonts w:ascii="Times New Roman" w:eastAsia="Times New Roman" w:hAnsi="Times New Roman" w:cs="Times New Roman"/>
              </w:rPr>
              <w:t>кв. м.\чел.</w:t>
            </w:r>
          </w:p>
        </w:tc>
      </w:tr>
      <w:tr w:rsidR="00113D76" w:rsidRPr="006B78F6" w:rsidTr="007F2C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A951B9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13D76" w:rsidRPr="006B78F6" w:rsidTr="007F2C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4.1.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Развитие частного сектора по перевозке пассажиров автомобильным транспортом по муниципальным маршрутам с учетом предложений, изложенных в обращениях негосударственных перевозчиков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  <w:jc w:val="both"/>
            </w:pPr>
            <w:r w:rsidRPr="006B78F6">
              <w:t>Доля организаций частных форм собственности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441174" w:rsidRDefault="00113D76" w:rsidP="0072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1174">
              <w:rPr>
                <w:rFonts w:ascii="Times New Roman" w:hAnsi="Times New Roman" w:cs="Times New Roman"/>
                <w:sz w:val="24"/>
              </w:rPr>
              <w:t>Действует 7 социально значимых маршрутов (100% к уровню 202</w:t>
            </w:r>
            <w:r w:rsidR="00722426">
              <w:rPr>
                <w:rFonts w:ascii="Times New Roman" w:hAnsi="Times New Roman" w:cs="Times New Roman"/>
                <w:sz w:val="24"/>
              </w:rPr>
              <w:t>2</w:t>
            </w:r>
            <w:r w:rsidRPr="00441174">
              <w:rPr>
                <w:rFonts w:ascii="Times New Roman" w:hAnsi="Times New Roman" w:cs="Times New Roman"/>
                <w:sz w:val="24"/>
              </w:rPr>
              <w:t xml:space="preserve"> года). Охват населения, имеющего регулярное автобусное сообщение с административным центром муниципального района, в общей численности населения муниципального района составляет 100%.</w:t>
            </w:r>
          </w:p>
        </w:tc>
      </w:tr>
      <w:tr w:rsidR="00113D76" w:rsidRPr="006B78F6" w:rsidTr="007F2C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сельскохозяйственной продукции</w:t>
            </w:r>
          </w:p>
          <w:p w:rsidR="00113D76" w:rsidRPr="00A951B9" w:rsidRDefault="00113D76" w:rsidP="0011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D76" w:rsidRPr="006B78F6" w:rsidTr="007F2C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>
              <w:t>5.1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развития животноводства малыми формами хозяйствования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производства животноводческой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28" w:rsidRDefault="00E41928" w:rsidP="00E41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928">
              <w:rPr>
                <w:rFonts w:ascii="Times New Roman" w:hAnsi="Times New Roman" w:cs="Times New Roman"/>
              </w:rPr>
              <w:t>На 01.01.20</w:t>
            </w:r>
            <w:r>
              <w:rPr>
                <w:rFonts w:ascii="Times New Roman" w:hAnsi="Times New Roman" w:cs="Times New Roman"/>
              </w:rPr>
              <w:t>23</w:t>
            </w:r>
            <w:r w:rsidRPr="00E41928">
              <w:rPr>
                <w:rFonts w:ascii="Times New Roman" w:hAnsi="Times New Roman" w:cs="Times New Roman"/>
              </w:rPr>
              <w:t xml:space="preserve"> года в хозяйствах всех форм собственности района насчитывается 15 887 головы КРС, по сравнению с 2021 годом поголовье крупного рогатого скота уменьшилось на 45 голов. Дойное стадо составляет 2739 голов коров, также насчитывается 16 092 поголовье овец, поголовье лошадей – 1 433 голов. Надой на 1 фуражную корову в среднем по хозяйствам составил </w:t>
            </w:r>
            <w:smartTag w:uri="urn:schemas-microsoft-com:office:smarttags" w:element="metricconverter">
              <w:smartTagPr>
                <w:attr w:name="ProductID" w:val="2 755 кг"/>
              </w:smartTagPr>
              <w:r w:rsidRPr="00E41928">
                <w:rPr>
                  <w:rFonts w:ascii="Times New Roman" w:hAnsi="Times New Roman" w:cs="Times New Roman"/>
                </w:rPr>
                <w:t>2 755 кг</w:t>
              </w:r>
            </w:smartTag>
            <w:r w:rsidRPr="00E419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сравнении с прошлым</w:t>
            </w:r>
            <w:r w:rsidRPr="00E41928">
              <w:rPr>
                <w:rFonts w:ascii="Times New Roman" w:hAnsi="Times New Roman" w:cs="Times New Roman"/>
              </w:rPr>
              <w:t xml:space="preserve"> годом показатель уменьшился на </w:t>
            </w:r>
            <w:smartTag w:uri="urn:schemas-microsoft-com:office:smarttags" w:element="metricconverter">
              <w:smartTagPr>
                <w:attr w:name="ProductID" w:val="464 кг"/>
              </w:smartTagPr>
              <w:r w:rsidRPr="00E41928">
                <w:rPr>
                  <w:rFonts w:ascii="Times New Roman" w:hAnsi="Times New Roman" w:cs="Times New Roman"/>
                </w:rPr>
                <w:t>464 кг</w:t>
              </w:r>
            </w:smartTag>
            <w:r w:rsidRPr="00E41928">
              <w:rPr>
                <w:rFonts w:ascii="Times New Roman" w:hAnsi="Times New Roman" w:cs="Times New Roman"/>
              </w:rPr>
              <w:t xml:space="preserve">. </w:t>
            </w:r>
          </w:p>
          <w:p w:rsidR="00E41928" w:rsidRDefault="00E41928" w:rsidP="00E41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928">
              <w:rPr>
                <w:rFonts w:ascii="Times New Roman" w:hAnsi="Times New Roman" w:cs="Times New Roman"/>
              </w:rPr>
              <w:lastRenderedPageBreak/>
              <w:t xml:space="preserve">Посевная площадь </w:t>
            </w:r>
            <w:r w:rsidR="0025740F" w:rsidRPr="00E41928">
              <w:rPr>
                <w:rFonts w:ascii="Times New Roman" w:hAnsi="Times New Roman" w:cs="Times New Roman"/>
              </w:rPr>
              <w:t>составила</w:t>
            </w:r>
            <w:r w:rsidRPr="00E41928">
              <w:rPr>
                <w:rFonts w:ascii="Times New Roman" w:hAnsi="Times New Roman" w:cs="Times New Roman"/>
              </w:rPr>
              <w:t xml:space="preserve"> 30 187,9 </w:t>
            </w:r>
            <w:r w:rsidR="0025740F" w:rsidRPr="00E41928">
              <w:rPr>
                <w:rFonts w:ascii="Times New Roman" w:hAnsi="Times New Roman" w:cs="Times New Roman"/>
              </w:rPr>
              <w:t>га,</w:t>
            </w:r>
            <w:r w:rsidR="0025740F">
              <w:rPr>
                <w:rFonts w:ascii="Times New Roman" w:hAnsi="Times New Roman" w:cs="Times New Roman"/>
              </w:rPr>
              <w:t xml:space="preserve"> </w:t>
            </w:r>
            <w:r w:rsidRPr="00E41928">
              <w:rPr>
                <w:rFonts w:ascii="Times New Roman" w:hAnsi="Times New Roman" w:cs="Times New Roman"/>
              </w:rPr>
              <w:t xml:space="preserve">в том числе яровой сев – 27 820,3 </w:t>
            </w:r>
            <w:r w:rsidR="0025740F" w:rsidRPr="00E41928">
              <w:rPr>
                <w:rFonts w:ascii="Times New Roman" w:hAnsi="Times New Roman" w:cs="Times New Roman"/>
              </w:rPr>
              <w:t>га</w:t>
            </w:r>
            <w:r w:rsidR="0025740F">
              <w:rPr>
                <w:rFonts w:ascii="Times New Roman" w:hAnsi="Times New Roman" w:cs="Times New Roman"/>
              </w:rPr>
              <w:t>,</w:t>
            </w:r>
            <w:r w:rsidRPr="00E41928">
              <w:rPr>
                <w:rFonts w:ascii="Times New Roman" w:hAnsi="Times New Roman" w:cs="Times New Roman"/>
              </w:rPr>
              <w:t xml:space="preserve"> зерновые культуры – </w:t>
            </w:r>
            <w:smartTag w:uri="urn:schemas-microsoft-com:office:smarttags" w:element="metricconverter">
              <w:smartTagPr>
                <w:attr w:name="ProductID" w:val="23 283,3 га"/>
              </w:smartTagPr>
              <w:r w:rsidRPr="00E41928">
                <w:rPr>
                  <w:rFonts w:ascii="Times New Roman" w:hAnsi="Times New Roman" w:cs="Times New Roman"/>
                </w:rPr>
                <w:t>23 283,3 га</w:t>
              </w:r>
            </w:smartTag>
            <w:r w:rsidRPr="00E41928">
              <w:rPr>
                <w:rFonts w:ascii="Times New Roman" w:hAnsi="Times New Roman" w:cs="Times New Roman"/>
              </w:rPr>
              <w:t xml:space="preserve">, кормовые – </w:t>
            </w:r>
            <w:smartTag w:uri="urn:schemas-microsoft-com:office:smarttags" w:element="metricconverter">
              <w:smartTagPr>
                <w:attr w:name="ProductID" w:val="3740 га"/>
              </w:smartTagPr>
              <w:r w:rsidRPr="00E41928">
                <w:rPr>
                  <w:rFonts w:ascii="Times New Roman" w:hAnsi="Times New Roman" w:cs="Times New Roman"/>
                </w:rPr>
                <w:t>3740 га</w:t>
              </w:r>
            </w:smartTag>
            <w:r w:rsidRPr="00E41928">
              <w:rPr>
                <w:rFonts w:ascii="Times New Roman" w:hAnsi="Times New Roman" w:cs="Times New Roman"/>
              </w:rPr>
              <w:t>, а также 4463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928">
              <w:rPr>
                <w:rFonts w:ascii="Times New Roman" w:hAnsi="Times New Roman" w:cs="Times New Roman"/>
              </w:rPr>
              <w:t>га – многолетние травы. Понижение посевной площади в 2022 году произошло по причине того, что СПК «Копьёвский» не сеяли в связи с процедурой банкротства предприятия. Валовой сбор зерна составил 54 200,6 тонн</w:t>
            </w:r>
            <w:r w:rsidR="0025740F">
              <w:rPr>
                <w:rFonts w:ascii="Times New Roman" w:hAnsi="Times New Roman" w:cs="Times New Roman"/>
              </w:rPr>
              <w:t xml:space="preserve">, </w:t>
            </w:r>
            <w:r w:rsidRPr="00E41928">
              <w:rPr>
                <w:rFonts w:ascii="Times New Roman" w:hAnsi="Times New Roman" w:cs="Times New Roman"/>
              </w:rPr>
              <w:t>при урожайности 22,58 ц/</w:t>
            </w:r>
            <w:r w:rsidR="0025740F" w:rsidRPr="00E41928">
              <w:rPr>
                <w:rFonts w:ascii="Times New Roman" w:hAnsi="Times New Roman" w:cs="Times New Roman"/>
              </w:rPr>
              <w:t>га</w:t>
            </w:r>
            <w:r w:rsidR="0025740F">
              <w:rPr>
                <w:rFonts w:ascii="Times New Roman" w:hAnsi="Times New Roman" w:cs="Times New Roman"/>
              </w:rPr>
              <w:t>.</w:t>
            </w:r>
            <w:r w:rsidRPr="00E41928">
              <w:rPr>
                <w:rFonts w:ascii="Times New Roman" w:hAnsi="Times New Roman" w:cs="Times New Roman"/>
              </w:rPr>
              <w:t xml:space="preserve"> На одну условную голову было заготовлено 26,3 кормовые единицы, в том числе сена – 14,0 тыс. тонн, сочных кормов – 12,6 тыс. тонн.</w:t>
            </w:r>
          </w:p>
          <w:p w:rsidR="00113D76" w:rsidRPr="00E41928" w:rsidRDefault="00E41928" w:rsidP="00E41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3D76" w:rsidRPr="00E41928">
              <w:rPr>
                <w:rFonts w:ascii="Times New Roman" w:hAnsi="Times New Roman" w:cs="Times New Roman"/>
              </w:rPr>
              <w:t>Сдается документация на субсидии.</w:t>
            </w:r>
          </w:p>
        </w:tc>
      </w:tr>
      <w:tr w:rsidR="00113D76" w:rsidRPr="006B78F6" w:rsidTr="007F2CDE">
        <w:trPr>
          <w:trHeight w:val="2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lastRenderedPageBreak/>
              <w:t>5.2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по внедрению современных технологий производства и высева качественных семян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7F2CDE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 собственности на рынке семеноводства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6B78F6" w:rsidRDefault="00113D76" w:rsidP="0011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EB">
              <w:rPr>
                <w:rFonts w:ascii="Times New Roman" w:hAnsi="Times New Roman" w:cs="Times New Roman"/>
                <w:sz w:val="24"/>
                <w:szCs w:val="26"/>
              </w:rPr>
              <w:t>Оказание консультационных услуг</w:t>
            </w:r>
          </w:p>
        </w:tc>
      </w:tr>
      <w:tr w:rsidR="00113D76" w:rsidRPr="006B78F6" w:rsidTr="007F2C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B74EB7" w:rsidRDefault="00113D76" w:rsidP="0011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препаратами.</w:t>
            </w:r>
          </w:p>
        </w:tc>
      </w:tr>
      <w:tr w:rsidR="00113D76" w:rsidRPr="006B78F6" w:rsidTr="007F2C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6.1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развития конкуренции на рынке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 собственности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13D76" w:rsidRPr="00B74EB7" w:rsidRDefault="00113D76" w:rsidP="00113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377461" w:rsidRDefault="00113D76" w:rsidP="00D22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22D4D">
              <w:rPr>
                <w:rFonts w:ascii="Times New Roman" w:hAnsi="Times New Roman" w:cs="Times New Roman"/>
                <w:sz w:val="24"/>
                <w:szCs w:val="26"/>
              </w:rPr>
              <w:t xml:space="preserve">Розничная торговля лекарственными препаратами медицинского назначения и сопутствующими препаратами муниципального образования Орджоникидзевский район предоставлена частным сектором: </w:t>
            </w:r>
            <w:r w:rsidR="00D22D4D" w:rsidRPr="00D22D4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D22D4D">
              <w:rPr>
                <w:rFonts w:ascii="Times New Roman" w:hAnsi="Times New Roman" w:cs="Times New Roman"/>
                <w:sz w:val="24"/>
                <w:szCs w:val="26"/>
              </w:rPr>
              <w:t xml:space="preserve"> индивидуальных</w:t>
            </w:r>
            <w:r w:rsidR="00D22D4D" w:rsidRPr="00D22D4D">
              <w:rPr>
                <w:rFonts w:ascii="Times New Roman" w:hAnsi="Times New Roman" w:cs="Times New Roman"/>
                <w:sz w:val="24"/>
                <w:szCs w:val="26"/>
              </w:rPr>
              <w:t xml:space="preserve"> предприятия и 1</w:t>
            </w:r>
            <w:r w:rsidRPr="00D22D4D">
              <w:rPr>
                <w:rFonts w:ascii="Times New Roman" w:hAnsi="Times New Roman" w:cs="Times New Roman"/>
                <w:sz w:val="24"/>
                <w:szCs w:val="26"/>
              </w:rPr>
              <w:t xml:space="preserve"> юридическое лицо</w:t>
            </w:r>
          </w:p>
        </w:tc>
      </w:tr>
    </w:tbl>
    <w:p w:rsidR="00474112" w:rsidRDefault="00474112" w:rsidP="007B133A"/>
    <w:sectPr w:rsidR="00474112" w:rsidSect="000D36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AAB"/>
    <w:multiLevelType w:val="hybridMultilevel"/>
    <w:tmpl w:val="EE003852"/>
    <w:lvl w:ilvl="0" w:tplc="A582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74"/>
    <w:rsid w:val="00035FB5"/>
    <w:rsid w:val="000411DB"/>
    <w:rsid w:val="0007023C"/>
    <w:rsid w:val="000A7338"/>
    <w:rsid w:val="000D365F"/>
    <w:rsid w:val="000E7033"/>
    <w:rsid w:val="00110674"/>
    <w:rsid w:val="00113D76"/>
    <w:rsid w:val="00123334"/>
    <w:rsid w:val="001A2E1A"/>
    <w:rsid w:val="001C3C68"/>
    <w:rsid w:val="001C5D8B"/>
    <w:rsid w:val="001E41A3"/>
    <w:rsid w:val="002547C7"/>
    <w:rsid w:val="0025740F"/>
    <w:rsid w:val="00286F4B"/>
    <w:rsid w:val="00312F95"/>
    <w:rsid w:val="00377461"/>
    <w:rsid w:val="003948C9"/>
    <w:rsid w:val="004151D1"/>
    <w:rsid w:val="00441174"/>
    <w:rsid w:val="004665F4"/>
    <w:rsid w:val="00474112"/>
    <w:rsid w:val="00492DEE"/>
    <w:rsid w:val="004B3AAA"/>
    <w:rsid w:val="00530646"/>
    <w:rsid w:val="00585BA9"/>
    <w:rsid w:val="00644E3E"/>
    <w:rsid w:val="006558A0"/>
    <w:rsid w:val="006B78F6"/>
    <w:rsid w:val="006E7716"/>
    <w:rsid w:val="00722426"/>
    <w:rsid w:val="007238F3"/>
    <w:rsid w:val="007364D8"/>
    <w:rsid w:val="007959C8"/>
    <w:rsid w:val="007B133A"/>
    <w:rsid w:val="007F1E5B"/>
    <w:rsid w:val="007F2CDE"/>
    <w:rsid w:val="008120A4"/>
    <w:rsid w:val="008A576D"/>
    <w:rsid w:val="00934AA6"/>
    <w:rsid w:val="009C1001"/>
    <w:rsid w:val="00A3597C"/>
    <w:rsid w:val="00A951B9"/>
    <w:rsid w:val="00B3285B"/>
    <w:rsid w:val="00B74EB7"/>
    <w:rsid w:val="00B83BB8"/>
    <w:rsid w:val="00BA05FE"/>
    <w:rsid w:val="00BF02E3"/>
    <w:rsid w:val="00C6077A"/>
    <w:rsid w:val="00C633A4"/>
    <w:rsid w:val="00C97844"/>
    <w:rsid w:val="00C97DF9"/>
    <w:rsid w:val="00CA7DD8"/>
    <w:rsid w:val="00D22D4D"/>
    <w:rsid w:val="00D44EFE"/>
    <w:rsid w:val="00D46817"/>
    <w:rsid w:val="00D67322"/>
    <w:rsid w:val="00D83B67"/>
    <w:rsid w:val="00DC2A3C"/>
    <w:rsid w:val="00E16733"/>
    <w:rsid w:val="00E41928"/>
    <w:rsid w:val="00EA40ED"/>
    <w:rsid w:val="00ED59EB"/>
    <w:rsid w:val="00F805ED"/>
    <w:rsid w:val="00FA632A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C706EB"/>
  <w15:docId w15:val="{D95AD053-9851-4AF5-9D18-4BE45FA5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0411DB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59"/>
    <w:rsid w:val="0004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7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page number"/>
    <w:uiPriority w:val="99"/>
    <w:unhideWhenUsed/>
    <w:rsid w:val="00FA632A"/>
  </w:style>
  <w:style w:type="paragraph" w:styleId="a5">
    <w:name w:val="Balloon Text"/>
    <w:basedOn w:val="a"/>
    <w:link w:val="a6"/>
    <w:uiPriority w:val="99"/>
    <w:semiHidden/>
    <w:unhideWhenUsed/>
    <w:rsid w:val="00BF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2E3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113D7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uiPriority w:val="99"/>
    <w:unhideWhenUsed/>
    <w:rsid w:val="00D44EFE"/>
    <w:rPr>
      <w:color w:val="0000FF"/>
      <w:u w:val="single"/>
    </w:rPr>
  </w:style>
  <w:style w:type="character" w:customStyle="1" w:styleId="markedcontent">
    <w:name w:val="markedcontent"/>
    <w:basedOn w:val="a0"/>
    <w:rsid w:val="00D44EFE"/>
  </w:style>
  <w:style w:type="paragraph" w:customStyle="1" w:styleId="1">
    <w:name w:val="Абзац списка1"/>
    <w:basedOn w:val="a"/>
    <w:rsid w:val="00312F95"/>
    <w:pPr>
      <w:widowControl w:val="0"/>
      <w:autoSpaceDE w:val="0"/>
      <w:autoSpaceDN w:val="0"/>
      <w:spacing w:after="0" w:line="240" w:lineRule="auto"/>
      <w:ind w:left="212" w:hanging="140"/>
    </w:pPr>
    <w:rPr>
      <w:rFonts w:ascii="Times New Roman" w:hAnsi="Times New Roman" w:cs="Times New Roman"/>
      <w:lang w:eastAsia="ru-RU"/>
    </w:rPr>
  </w:style>
  <w:style w:type="paragraph" w:styleId="20">
    <w:name w:val="Body Text 2"/>
    <w:basedOn w:val="a"/>
    <w:link w:val="21"/>
    <w:rsid w:val="00C97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97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CB7B702F424CBE09EC9ABE00AAE720B46D06410F08B8CA5B2C22D3401C9183A3BC674E226577CE9BFAFD9B02D5FD0154261FEDC4BFBBC1zC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Gigabyte</cp:lastModifiedBy>
  <cp:revision>48</cp:revision>
  <cp:lastPrinted>2022-07-05T04:37:00Z</cp:lastPrinted>
  <dcterms:created xsi:type="dcterms:W3CDTF">2022-04-04T08:04:00Z</dcterms:created>
  <dcterms:modified xsi:type="dcterms:W3CDTF">2023-04-21T07:04:00Z</dcterms:modified>
</cp:coreProperties>
</file>